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0ABD8" w14:textId="5E3332BF" w:rsidR="00E13FA6" w:rsidRPr="00681CFB" w:rsidRDefault="00123A49" w:rsidP="009D5EA6">
      <w:pPr>
        <w:spacing w:after="0"/>
        <w:contextualSpacing/>
        <w:jc w:val="center"/>
        <w:rPr>
          <w:rFonts w:ascii="DINPro" w:hAnsi="DINPro" w:cs="DINPro"/>
          <w:b/>
        </w:rPr>
      </w:pPr>
      <w:r w:rsidRPr="00681CFB">
        <w:rPr>
          <w:rFonts w:ascii="DINPro" w:hAnsi="DINPro" w:cs="DINPro"/>
          <w:b/>
        </w:rPr>
        <w:t xml:space="preserve">DIRECTIVES POUR LES DEMANDES AU FOND </w:t>
      </w:r>
      <w:r w:rsidR="00E13FA6" w:rsidRPr="00681CFB">
        <w:rPr>
          <w:rFonts w:ascii="DINPro" w:hAnsi="DINPro" w:cs="DINPro"/>
          <w:b/>
        </w:rPr>
        <w:t xml:space="preserve">NEIL </w:t>
      </w:r>
      <w:r w:rsidRPr="00681CFB">
        <w:rPr>
          <w:rFonts w:ascii="DINPro" w:hAnsi="DINPro" w:cs="DINPro"/>
          <w:b/>
        </w:rPr>
        <w:t>ET</w:t>
      </w:r>
      <w:r w:rsidR="00E13FA6" w:rsidRPr="00681CFB">
        <w:rPr>
          <w:rFonts w:ascii="DINPro" w:hAnsi="DINPro" w:cs="DINPro"/>
          <w:b/>
        </w:rPr>
        <w:t xml:space="preserve"> LOUISE TILLOTSON </w:t>
      </w:r>
    </w:p>
    <w:p w14:paraId="728D6697" w14:textId="169BA2B3" w:rsidR="00933AF6" w:rsidRPr="00681CFB" w:rsidRDefault="00123A49" w:rsidP="009D5EA6">
      <w:pPr>
        <w:spacing w:after="0"/>
        <w:contextualSpacing/>
        <w:jc w:val="center"/>
        <w:rPr>
          <w:rFonts w:ascii="DINPro" w:hAnsi="DINPro" w:cs="DINPro"/>
          <w:b/>
        </w:rPr>
      </w:pPr>
      <w:r w:rsidRPr="00681CFB">
        <w:rPr>
          <w:rFonts w:ascii="DINPro" w:hAnsi="DINPro" w:cs="DINPro"/>
          <w:b/>
        </w:rPr>
        <w:t>Programmes de subventions majeures et locales</w:t>
      </w:r>
    </w:p>
    <w:p w14:paraId="35A5A8FD" w14:textId="77777777" w:rsidR="001C3F9B" w:rsidRPr="00681CFB" w:rsidRDefault="001C3F9B" w:rsidP="009D5EA6">
      <w:pPr>
        <w:spacing w:after="0"/>
        <w:contextualSpacing/>
        <w:jc w:val="center"/>
        <w:rPr>
          <w:rFonts w:ascii="DINPro" w:hAnsi="DINPro" w:cs="DINPro"/>
          <w:b/>
        </w:rPr>
      </w:pPr>
      <w:r w:rsidRPr="00681CFB">
        <w:rPr>
          <w:rFonts w:ascii="DINPro" w:hAnsi="DINPro" w:cs="DINPro"/>
          <w:b/>
        </w:rPr>
        <w:t>2023</w:t>
      </w:r>
    </w:p>
    <w:p w14:paraId="2F50CEBF" w14:textId="77777777" w:rsidR="005B535F" w:rsidRPr="00681CFB" w:rsidRDefault="005B535F" w:rsidP="00E13FA6">
      <w:pPr>
        <w:spacing w:after="0"/>
        <w:contextualSpacing/>
        <w:rPr>
          <w:rFonts w:ascii="DINPro" w:hAnsi="DINPro" w:cs="DINPro"/>
          <w:b/>
        </w:rPr>
      </w:pPr>
    </w:p>
    <w:p w14:paraId="4A185140" w14:textId="34DCE429" w:rsidR="00E13FA6" w:rsidRPr="00681CFB" w:rsidRDefault="00123A49" w:rsidP="00E13FA6">
      <w:pPr>
        <w:spacing w:after="0"/>
        <w:contextualSpacing/>
        <w:rPr>
          <w:rFonts w:ascii="DINPro" w:hAnsi="DINPro" w:cs="DINPro"/>
          <w:b/>
        </w:rPr>
      </w:pPr>
      <w:r w:rsidRPr="00681CFB">
        <w:rPr>
          <w:rFonts w:ascii="DINPro" w:hAnsi="DINPro" w:cs="DINPro"/>
          <w:b/>
        </w:rPr>
        <w:t>Territoire géographique desservi</w:t>
      </w:r>
    </w:p>
    <w:p w14:paraId="21F1D241" w14:textId="6C5F9A02" w:rsidR="00933AF6" w:rsidRPr="00681CFB" w:rsidRDefault="00123A49" w:rsidP="00E13FA6">
      <w:pPr>
        <w:spacing w:after="0"/>
        <w:contextualSpacing/>
        <w:rPr>
          <w:rFonts w:ascii="DINPro" w:hAnsi="DINPro" w:cs="DINPro"/>
        </w:rPr>
      </w:pPr>
      <w:r w:rsidRPr="00681CFB">
        <w:rPr>
          <w:rFonts w:ascii="DINPro" w:hAnsi="DINPro" w:cs="DINPro"/>
        </w:rPr>
        <w:t xml:space="preserve">Le Fonds </w:t>
      </w:r>
      <w:r w:rsidR="00E13FA6" w:rsidRPr="00681CFB">
        <w:rPr>
          <w:rFonts w:ascii="DINPro" w:hAnsi="DINPro" w:cs="DINPro"/>
        </w:rPr>
        <w:t xml:space="preserve">Neil </w:t>
      </w:r>
      <w:r w:rsidR="00681CFB">
        <w:rPr>
          <w:rFonts w:ascii="DINPro" w:hAnsi="DINPro" w:cs="DINPro"/>
        </w:rPr>
        <w:t xml:space="preserve">et </w:t>
      </w:r>
      <w:r w:rsidR="00E13FA6" w:rsidRPr="00681CFB">
        <w:rPr>
          <w:rFonts w:ascii="DINPro" w:hAnsi="DINPro" w:cs="DINPro"/>
        </w:rPr>
        <w:t xml:space="preserve">Louise Tillotson </w:t>
      </w:r>
      <w:r w:rsidRPr="00681CFB">
        <w:rPr>
          <w:rFonts w:ascii="DINPro" w:hAnsi="DINPro" w:cs="DINPro"/>
        </w:rPr>
        <w:t xml:space="preserve">dessert un territoire géographique qui englobe : </w:t>
      </w:r>
    </w:p>
    <w:p w14:paraId="551BBE76" w14:textId="44E19EBE" w:rsidR="00933AF6" w:rsidRPr="00681CFB" w:rsidRDefault="00681CFB" w:rsidP="003035D4">
      <w:pPr>
        <w:pStyle w:val="Paragraphedeliste"/>
        <w:numPr>
          <w:ilvl w:val="0"/>
          <w:numId w:val="46"/>
        </w:numPr>
        <w:spacing w:after="0"/>
        <w:rPr>
          <w:rFonts w:ascii="DINPro" w:hAnsi="DINPro" w:cs="DINPro"/>
        </w:rPr>
      </w:pPr>
      <w:r>
        <w:rPr>
          <w:rFonts w:ascii="DINPro" w:hAnsi="DINPro" w:cs="DINPro"/>
        </w:rPr>
        <w:t>La r</w:t>
      </w:r>
      <w:r w:rsidR="00123A49" w:rsidRPr="00681CFB">
        <w:rPr>
          <w:rFonts w:ascii="DINPro" w:hAnsi="DINPro" w:cs="DINPro"/>
        </w:rPr>
        <w:t xml:space="preserve">égion centrale </w:t>
      </w:r>
      <w:r w:rsidR="007D5FD4" w:rsidRPr="00681CFB">
        <w:rPr>
          <w:rFonts w:ascii="DINPro" w:hAnsi="DINPro" w:cs="DINPro"/>
        </w:rPr>
        <w:t>:  Coö</w:t>
      </w:r>
      <w:r w:rsidR="00933AF6" w:rsidRPr="00681CFB">
        <w:rPr>
          <w:rFonts w:ascii="DINPro" w:hAnsi="DINPro" w:cs="DINPro"/>
        </w:rPr>
        <w:t>s County, NH</w:t>
      </w:r>
      <w:r w:rsidR="00123A49" w:rsidRPr="00681CFB">
        <w:rPr>
          <w:rFonts w:ascii="DINPro" w:hAnsi="DINPro" w:cs="DINPro"/>
        </w:rPr>
        <w:t xml:space="preserve">, et les collectivités qui sont directement voisines de </w:t>
      </w:r>
      <w:r w:rsidR="007D5FD4" w:rsidRPr="00681CFB">
        <w:rPr>
          <w:rFonts w:ascii="DINPro" w:hAnsi="DINPro" w:cs="DINPro"/>
        </w:rPr>
        <w:t>Coö</w:t>
      </w:r>
      <w:r w:rsidR="00933AF6" w:rsidRPr="00681CFB">
        <w:rPr>
          <w:rFonts w:ascii="DINPro" w:hAnsi="DINPro" w:cs="DINPro"/>
        </w:rPr>
        <w:t>s County</w:t>
      </w:r>
      <w:r>
        <w:rPr>
          <w:rFonts w:ascii="DINPro" w:hAnsi="DINPro" w:cs="DINPro"/>
        </w:rPr>
        <w:t>;</w:t>
      </w:r>
      <w:r w:rsidR="00933AF6" w:rsidRPr="00681CFB">
        <w:rPr>
          <w:rFonts w:ascii="DINPro" w:hAnsi="DINPro" w:cs="DINPro"/>
        </w:rPr>
        <w:t xml:space="preserve"> </w:t>
      </w:r>
    </w:p>
    <w:p w14:paraId="24668D36" w14:textId="1E93B0B3" w:rsidR="00933AF6" w:rsidRPr="00681CFB" w:rsidRDefault="00123A49" w:rsidP="003035D4">
      <w:pPr>
        <w:pStyle w:val="Paragraphedeliste"/>
        <w:numPr>
          <w:ilvl w:val="0"/>
          <w:numId w:val="46"/>
        </w:numPr>
        <w:spacing w:after="0"/>
        <w:rPr>
          <w:rFonts w:ascii="DINPro" w:hAnsi="DINPro" w:cs="DINPro"/>
        </w:rPr>
      </w:pPr>
      <w:r w:rsidRPr="00681CFB">
        <w:rPr>
          <w:rFonts w:ascii="DINPro" w:hAnsi="DINPro" w:cs="DINPro"/>
        </w:rPr>
        <w:t xml:space="preserve">Les programmes, projets ou agences qui fonctionnent à l’extérieur de la région, mais qui offrent des bénéfices clairs aux résidents et à l’environnement de </w:t>
      </w:r>
      <w:r w:rsidR="007D5FD4" w:rsidRPr="00681CFB">
        <w:rPr>
          <w:rFonts w:ascii="DINPro" w:hAnsi="DINPro" w:cs="DINPro"/>
        </w:rPr>
        <w:t>Coö</w:t>
      </w:r>
      <w:r w:rsidR="00933AF6" w:rsidRPr="00681CFB">
        <w:rPr>
          <w:rFonts w:ascii="DINPro" w:hAnsi="DINPro" w:cs="DINPro"/>
        </w:rPr>
        <w:t>s</w:t>
      </w:r>
      <w:r w:rsidR="00681CFB">
        <w:rPr>
          <w:rFonts w:ascii="DINPro" w:hAnsi="DINPro" w:cs="DINPro"/>
        </w:rPr>
        <w:t>;</w:t>
      </w:r>
      <w:r w:rsidR="00933AF6" w:rsidRPr="00681CFB">
        <w:rPr>
          <w:rFonts w:ascii="DINPro" w:hAnsi="DINPro" w:cs="DINPro"/>
        </w:rPr>
        <w:t xml:space="preserve"> </w:t>
      </w:r>
    </w:p>
    <w:p w14:paraId="0D440A04" w14:textId="2A2559D1" w:rsidR="00E13FA6" w:rsidRPr="00681CFB" w:rsidRDefault="00123A49" w:rsidP="003035D4">
      <w:pPr>
        <w:pStyle w:val="Paragraphedeliste"/>
        <w:numPr>
          <w:ilvl w:val="0"/>
          <w:numId w:val="46"/>
        </w:numPr>
        <w:spacing w:after="0"/>
        <w:rPr>
          <w:rFonts w:ascii="DINPro" w:hAnsi="DINPro" w:cs="DINPro"/>
        </w:rPr>
      </w:pPr>
      <w:r w:rsidRPr="00681CFB">
        <w:rPr>
          <w:rFonts w:ascii="DINPro" w:hAnsi="DINPro" w:cs="DINPro"/>
        </w:rPr>
        <w:t>L</w:t>
      </w:r>
      <w:r w:rsidR="00681CFB">
        <w:rPr>
          <w:rFonts w:ascii="DINPro" w:hAnsi="DINPro" w:cs="DINPro"/>
        </w:rPr>
        <w:t>a</w:t>
      </w:r>
      <w:r w:rsidRPr="00681CFB">
        <w:rPr>
          <w:rFonts w:ascii="DINPro" w:hAnsi="DINPro" w:cs="DINPro"/>
        </w:rPr>
        <w:t xml:space="preserve"> </w:t>
      </w:r>
      <w:r w:rsidR="00933AF6" w:rsidRPr="00681CFB">
        <w:rPr>
          <w:rFonts w:ascii="DINPro" w:hAnsi="DINPro" w:cs="DINPro"/>
        </w:rPr>
        <w:t>MRC de Coaticook, Qu</w:t>
      </w:r>
      <w:r w:rsidRPr="00681CFB">
        <w:rPr>
          <w:rFonts w:ascii="DINPro" w:hAnsi="DINPro" w:cs="DINPro"/>
        </w:rPr>
        <w:t>é</w:t>
      </w:r>
      <w:r w:rsidR="00933AF6" w:rsidRPr="00681CFB">
        <w:rPr>
          <w:rFonts w:ascii="DINPro" w:hAnsi="DINPro" w:cs="DINPro"/>
        </w:rPr>
        <w:t>bec, Canada</w:t>
      </w:r>
      <w:r w:rsidR="00681CFB">
        <w:rPr>
          <w:rFonts w:ascii="DINPro" w:hAnsi="DINPro" w:cs="DINPro"/>
        </w:rPr>
        <w:t>.</w:t>
      </w:r>
      <w:r w:rsidR="00933AF6" w:rsidRPr="00681CFB">
        <w:rPr>
          <w:rFonts w:ascii="DINPro" w:hAnsi="DINPro" w:cs="DINPro"/>
        </w:rPr>
        <w:t xml:space="preserve"> </w:t>
      </w:r>
      <w:r w:rsidR="00E13FA6" w:rsidRPr="00681CFB">
        <w:rPr>
          <w:rFonts w:ascii="DINPro" w:hAnsi="DINPro" w:cs="DINPro"/>
        </w:rPr>
        <w:t xml:space="preserve"> </w:t>
      </w:r>
    </w:p>
    <w:p w14:paraId="0640F42D" w14:textId="77777777" w:rsidR="00E13FA6" w:rsidRPr="00681CFB" w:rsidRDefault="00E13FA6" w:rsidP="00E13FA6">
      <w:pPr>
        <w:spacing w:after="0"/>
        <w:contextualSpacing/>
        <w:rPr>
          <w:rFonts w:ascii="DINPro" w:hAnsi="DINPro" w:cs="DINPro"/>
        </w:rPr>
      </w:pPr>
    </w:p>
    <w:p w14:paraId="04E42915" w14:textId="3F1A6C57" w:rsidR="00E13FA6" w:rsidRPr="00681CFB" w:rsidRDefault="00123A49" w:rsidP="00E13FA6">
      <w:pPr>
        <w:spacing w:after="0"/>
        <w:contextualSpacing/>
        <w:rPr>
          <w:rFonts w:ascii="DINPro" w:hAnsi="DINPro" w:cs="DINPro"/>
          <w:b/>
        </w:rPr>
      </w:pPr>
      <w:r w:rsidRPr="00681CFB">
        <w:rPr>
          <w:rFonts w:ascii="DINPro" w:hAnsi="DINPro" w:cs="DINPro"/>
          <w:b/>
        </w:rPr>
        <w:t xml:space="preserve">Admissibilité générale </w:t>
      </w:r>
    </w:p>
    <w:p w14:paraId="4008D016" w14:textId="33AFD62F" w:rsidR="00E13FA6" w:rsidRPr="00681CFB" w:rsidRDefault="00123A49" w:rsidP="00E13FA6">
      <w:pPr>
        <w:spacing w:after="0"/>
        <w:contextualSpacing/>
        <w:rPr>
          <w:rFonts w:ascii="DINPro" w:hAnsi="DINPro" w:cs="DINPro"/>
        </w:rPr>
      </w:pPr>
      <w:r w:rsidRPr="00681CFB">
        <w:rPr>
          <w:rFonts w:ascii="DINPro" w:hAnsi="DINPro" w:cs="DINPro"/>
        </w:rPr>
        <w:t>Les organisations reconnues comme exonérées d'impôt par l'IRS ou l'ARC sont admissibles, y compris les organisations à but non lucratif américaines avec le statut 501(c)(3), les organisations canadiennes avec le statut de donataire reconnu, les organis</w:t>
      </w:r>
      <w:r w:rsidR="00802BD6" w:rsidRPr="00681CFB">
        <w:rPr>
          <w:rFonts w:ascii="DINPro" w:hAnsi="DINPro" w:cs="DINPro"/>
        </w:rPr>
        <w:t xml:space="preserve">ations </w:t>
      </w:r>
      <w:r w:rsidRPr="00681CFB">
        <w:rPr>
          <w:rFonts w:ascii="DINPro" w:hAnsi="DINPro" w:cs="DINPro"/>
        </w:rPr>
        <w:t>publi</w:t>
      </w:r>
      <w:r w:rsidR="00802BD6" w:rsidRPr="00681CFB">
        <w:rPr>
          <w:rFonts w:ascii="DINPro" w:hAnsi="DINPro" w:cs="DINPro"/>
        </w:rPr>
        <w:t>que</w:t>
      </w:r>
      <w:r w:rsidRPr="00681CFB">
        <w:rPr>
          <w:rFonts w:ascii="DINPro" w:hAnsi="DINPro" w:cs="DINPro"/>
        </w:rPr>
        <w:t>s exonéré</w:t>
      </w:r>
      <w:r w:rsidR="00802BD6" w:rsidRPr="00681CFB">
        <w:rPr>
          <w:rFonts w:ascii="DINPro" w:hAnsi="DINPro" w:cs="DINPro"/>
        </w:rPr>
        <w:t>e</w:t>
      </w:r>
      <w:r w:rsidRPr="00681CFB">
        <w:rPr>
          <w:rFonts w:ascii="DINPro" w:hAnsi="DINPro" w:cs="DINPro"/>
        </w:rPr>
        <w:t>s d'impôt, les écoles et les municipalités. D'autres groupes et organisations communautaires qui n'ont pas le statut d'exonération fiscale aux États-Unis ou au Canada peuvent demander un financement si une organisation, une municipalité ou un</w:t>
      </w:r>
      <w:r w:rsidR="00802BD6" w:rsidRPr="00681CFB">
        <w:rPr>
          <w:rFonts w:ascii="DINPro" w:hAnsi="DINPro" w:cs="DINPro"/>
        </w:rPr>
        <w:t>e</w:t>
      </w:r>
      <w:r w:rsidRPr="00681CFB">
        <w:rPr>
          <w:rFonts w:ascii="DINPro" w:hAnsi="DINPro" w:cs="DINPro"/>
        </w:rPr>
        <w:t xml:space="preserve"> </w:t>
      </w:r>
      <w:r w:rsidR="00802BD6" w:rsidRPr="00681CFB">
        <w:rPr>
          <w:rFonts w:ascii="DINPro" w:hAnsi="DINPro" w:cs="DINPro"/>
        </w:rPr>
        <w:t xml:space="preserve">organisation </w:t>
      </w:r>
      <w:r w:rsidRPr="00681CFB">
        <w:rPr>
          <w:rFonts w:ascii="DINPro" w:hAnsi="DINPro" w:cs="DINPro"/>
        </w:rPr>
        <w:t>publi</w:t>
      </w:r>
      <w:r w:rsidR="00802BD6" w:rsidRPr="00681CFB">
        <w:rPr>
          <w:rFonts w:ascii="DINPro" w:hAnsi="DINPro" w:cs="DINPro"/>
        </w:rPr>
        <w:t xml:space="preserve">que avec le </w:t>
      </w:r>
      <w:r w:rsidR="00681CFB">
        <w:rPr>
          <w:rFonts w:ascii="DINPro" w:hAnsi="DINPro" w:cs="DINPro"/>
        </w:rPr>
        <w:t xml:space="preserve">statut </w:t>
      </w:r>
      <w:r w:rsidRPr="00681CFB">
        <w:rPr>
          <w:rFonts w:ascii="DINPro" w:hAnsi="DINPro" w:cs="DINPro"/>
        </w:rPr>
        <w:t>501(c)(3) agit en tant que parrain fiscal.</w:t>
      </w:r>
      <w:r w:rsidR="00802BD6" w:rsidRPr="00681CFB">
        <w:rPr>
          <w:rFonts w:ascii="DINPro" w:hAnsi="DINPro" w:cs="DINPro"/>
        </w:rPr>
        <w:t xml:space="preserve"> </w:t>
      </w:r>
    </w:p>
    <w:p w14:paraId="2D23C472" w14:textId="77777777" w:rsidR="00E13FA6" w:rsidRPr="00681CFB" w:rsidRDefault="00E13FA6" w:rsidP="00E13FA6">
      <w:pPr>
        <w:spacing w:after="0"/>
        <w:contextualSpacing/>
        <w:rPr>
          <w:rFonts w:ascii="DINPro" w:hAnsi="DINPro" w:cs="DINPro"/>
        </w:rPr>
      </w:pPr>
    </w:p>
    <w:p w14:paraId="503404D5" w14:textId="50B5964A" w:rsidR="00E13FA6" w:rsidRPr="00681CFB" w:rsidRDefault="00802BD6" w:rsidP="00E13FA6">
      <w:pPr>
        <w:autoSpaceDE w:val="0"/>
        <w:autoSpaceDN w:val="0"/>
        <w:adjustRightInd w:val="0"/>
        <w:spacing w:after="0" w:line="240" w:lineRule="auto"/>
        <w:rPr>
          <w:rFonts w:ascii="DINPro" w:hAnsi="DINPro" w:cs="DINPro"/>
          <w:b/>
          <w:bCs/>
        </w:rPr>
      </w:pPr>
      <w:r w:rsidRPr="00681CFB">
        <w:rPr>
          <w:rFonts w:ascii="DINPro" w:hAnsi="DINPro" w:cs="DINPro"/>
          <w:b/>
          <w:bCs/>
        </w:rPr>
        <w:t>Types de subventions et montants</w:t>
      </w:r>
    </w:p>
    <w:p w14:paraId="76AA3ACA" w14:textId="70BE684F" w:rsidR="00E13FA6" w:rsidRPr="00681CFB" w:rsidRDefault="00802BD6" w:rsidP="00E13FA6">
      <w:pPr>
        <w:spacing w:after="0"/>
        <w:contextualSpacing/>
        <w:rPr>
          <w:rFonts w:ascii="DINPro" w:hAnsi="DINPro" w:cs="DINPro"/>
        </w:rPr>
      </w:pPr>
      <w:r w:rsidRPr="00681CFB">
        <w:rPr>
          <w:rFonts w:ascii="DINPro" w:hAnsi="DINPro" w:cs="DINPro"/>
        </w:rPr>
        <w:t>Le Fonds Neil et Louise Tillotson soutient : les dépenses de fonctionnement sans restriction</w:t>
      </w:r>
      <w:r w:rsidR="00681CFB">
        <w:rPr>
          <w:rFonts w:ascii="DINPro" w:hAnsi="DINPro" w:cs="DINPro"/>
        </w:rPr>
        <w:t>;</w:t>
      </w:r>
      <w:r w:rsidRPr="00681CFB">
        <w:rPr>
          <w:rFonts w:ascii="DINPro" w:hAnsi="DINPro" w:cs="DINPro"/>
        </w:rPr>
        <w:t xml:space="preserve"> les projets et initiatives spécifiques; le développement du leadership et le renforcement des capacités organisationnelles; la planification, l’évaluation et l’assistance technique; et les dépenses </w:t>
      </w:r>
      <w:r w:rsidR="00681CFB">
        <w:rPr>
          <w:rFonts w:ascii="DINPro" w:hAnsi="DINPro" w:cs="DINPro"/>
        </w:rPr>
        <w:t>d’</w:t>
      </w:r>
      <w:r w:rsidRPr="00681CFB">
        <w:rPr>
          <w:rFonts w:ascii="DINPro" w:hAnsi="DINPro" w:cs="DINPro"/>
        </w:rPr>
        <w:t>immobilisations.</w:t>
      </w:r>
      <w:r w:rsidR="00E13FA6" w:rsidRPr="00681CFB">
        <w:rPr>
          <w:rFonts w:ascii="DINPro" w:hAnsi="DINPro" w:cs="DINPro"/>
        </w:rPr>
        <w:t xml:space="preserve"> </w:t>
      </w:r>
    </w:p>
    <w:p w14:paraId="7B9E484C" w14:textId="77777777" w:rsidR="001C3F9B" w:rsidRPr="00681CFB" w:rsidRDefault="001C3F9B" w:rsidP="00E13FA6">
      <w:pPr>
        <w:spacing w:after="0"/>
        <w:contextualSpacing/>
        <w:rPr>
          <w:rFonts w:ascii="DINPro" w:hAnsi="DINPro" w:cs="DINPro"/>
        </w:rPr>
      </w:pPr>
    </w:p>
    <w:p w14:paraId="024881A0" w14:textId="1F3A4939" w:rsidR="00E13FA6" w:rsidRPr="00681CFB" w:rsidRDefault="00802BD6" w:rsidP="00E13FA6">
      <w:pPr>
        <w:spacing w:after="0"/>
        <w:contextualSpacing/>
        <w:rPr>
          <w:rFonts w:ascii="DINPro" w:hAnsi="DINPro" w:cs="DINPro"/>
        </w:rPr>
      </w:pPr>
      <w:r w:rsidRPr="00681CFB">
        <w:rPr>
          <w:rFonts w:ascii="DINPro" w:hAnsi="DINPro" w:cs="DINPro"/>
        </w:rPr>
        <w:t xml:space="preserve">Il y a deux programmes et processus </w:t>
      </w:r>
      <w:r w:rsidR="00E13FA6" w:rsidRPr="00681CFB">
        <w:rPr>
          <w:rFonts w:ascii="DINPro" w:hAnsi="DINPro" w:cs="DINPro"/>
        </w:rPr>
        <w:t>:</w:t>
      </w:r>
    </w:p>
    <w:p w14:paraId="32A18DE6" w14:textId="6BCB2860" w:rsidR="00E13FA6" w:rsidRPr="00681CFB" w:rsidRDefault="00000000" w:rsidP="00323DF3">
      <w:pPr>
        <w:pStyle w:val="Paragraphedeliste"/>
        <w:numPr>
          <w:ilvl w:val="0"/>
          <w:numId w:val="33"/>
        </w:numPr>
        <w:autoSpaceDE w:val="0"/>
        <w:autoSpaceDN w:val="0"/>
        <w:adjustRightInd w:val="0"/>
        <w:spacing w:after="0" w:line="240" w:lineRule="auto"/>
        <w:rPr>
          <w:rFonts w:ascii="DINPro" w:hAnsi="DINPro" w:cs="DINPro"/>
        </w:rPr>
      </w:pPr>
      <w:hyperlink r:id="rId8" w:history="1">
        <w:r w:rsidR="00802BD6" w:rsidRPr="00681CFB">
          <w:rPr>
            <w:rStyle w:val="Lienhypertexte"/>
            <w:rFonts w:ascii="DINPro" w:hAnsi="DINPro" w:cs="DINPro"/>
          </w:rPr>
          <w:t>Programme des subventions locales</w:t>
        </w:r>
      </w:hyperlink>
      <w:r w:rsidR="00E13FA6" w:rsidRPr="00681CFB">
        <w:rPr>
          <w:rFonts w:ascii="DINPro" w:hAnsi="DINPro" w:cs="DINPro"/>
        </w:rPr>
        <w:t xml:space="preserve"> – </w:t>
      </w:r>
      <w:r w:rsidR="00802BD6" w:rsidRPr="00681CFB">
        <w:rPr>
          <w:rFonts w:ascii="DINPro" w:hAnsi="DINPro" w:cs="DINPro"/>
        </w:rPr>
        <w:t>demandes allant jusqu’à 2</w:t>
      </w:r>
      <w:r w:rsidR="00E13FA6" w:rsidRPr="00681CFB">
        <w:rPr>
          <w:rFonts w:ascii="DINPro" w:hAnsi="DINPro" w:cs="DINPro"/>
        </w:rPr>
        <w:t>0</w:t>
      </w:r>
      <w:r w:rsidR="00802BD6" w:rsidRPr="00681CFB">
        <w:rPr>
          <w:rFonts w:ascii="DINPro" w:hAnsi="DINPro" w:cs="DINPro"/>
        </w:rPr>
        <w:t> </w:t>
      </w:r>
      <w:r w:rsidR="00E13FA6" w:rsidRPr="00681CFB">
        <w:rPr>
          <w:rFonts w:ascii="DINPro" w:hAnsi="DINPro" w:cs="DINPro"/>
        </w:rPr>
        <w:t>000</w:t>
      </w:r>
      <w:r w:rsidR="00802BD6" w:rsidRPr="00681CFB">
        <w:rPr>
          <w:rFonts w:ascii="DINPro" w:hAnsi="DINPro" w:cs="DINPro"/>
        </w:rPr>
        <w:t xml:space="preserve"> $</w:t>
      </w:r>
      <w:r w:rsidR="00E13FA6" w:rsidRPr="00681CFB">
        <w:rPr>
          <w:rFonts w:ascii="DINPro" w:hAnsi="DINPro" w:cs="DINPro"/>
        </w:rPr>
        <w:t>.</w:t>
      </w:r>
      <w:r w:rsidR="007D5FD4" w:rsidRPr="00681CFB">
        <w:rPr>
          <w:rFonts w:ascii="DINPro" w:hAnsi="DINPro" w:cs="DINPro"/>
        </w:rPr>
        <w:t xml:space="preserve">  </w:t>
      </w:r>
      <w:r w:rsidR="00802BD6" w:rsidRPr="00681CFB">
        <w:rPr>
          <w:rFonts w:ascii="DINPro" w:hAnsi="DINPro" w:cs="DINPro"/>
        </w:rPr>
        <w:t>Les demandes multiannuelles sont acceptées, mais la plupart des soumissions sont pour une année.</w:t>
      </w:r>
      <w:r w:rsidR="007D5FD4" w:rsidRPr="00681CFB">
        <w:rPr>
          <w:rFonts w:ascii="DINPro" w:hAnsi="DINPro" w:cs="DINPro"/>
        </w:rPr>
        <w:t xml:space="preserve">  </w:t>
      </w:r>
    </w:p>
    <w:p w14:paraId="7ACD81ED" w14:textId="3FB8154A" w:rsidR="00E13FA6" w:rsidRPr="00681CFB" w:rsidRDefault="00000000" w:rsidP="00323DF3">
      <w:pPr>
        <w:pStyle w:val="Paragraphedeliste"/>
        <w:numPr>
          <w:ilvl w:val="0"/>
          <w:numId w:val="33"/>
        </w:numPr>
        <w:autoSpaceDE w:val="0"/>
        <w:autoSpaceDN w:val="0"/>
        <w:adjustRightInd w:val="0"/>
        <w:spacing w:after="0" w:line="240" w:lineRule="auto"/>
        <w:rPr>
          <w:rFonts w:ascii="DINPro" w:hAnsi="DINPro" w:cs="DINPro"/>
        </w:rPr>
      </w:pPr>
      <w:hyperlink r:id="rId9" w:history="1">
        <w:r w:rsidR="00802BD6" w:rsidRPr="00681CFB">
          <w:rPr>
            <w:rStyle w:val="Lienhypertexte"/>
            <w:rFonts w:ascii="DINPro" w:hAnsi="DINPro" w:cs="DINPro"/>
          </w:rPr>
          <w:t>Programme des subventions majeures</w:t>
        </w:r>
      </w:hyperlink>
      <w:r w:rsidR="00E13FA6" w:rsidRPr="00681CFB">
        <w:rPr>
          <w:rFonts w:ascii="DINPro" w:hAnsi="DINPro" w:cs="DINPro"/>
        </w:rPr>
        <w:t xml:space="preserve"> – </w:t>
      </w:r>
      <w:r w:rsidR="00802BD6" w:rsidRPr="00681CFB">
        <w:rPr>
          <w:rFonts w:ascii="DINPro" w:hAnsi="DINPro" w:cs="DINPro"/>
        </w:rPr>
        <w:t>demandes entre 20 001 $ et 300 000 $. Les subventions multiannuelles (jusqu’à environ 100 000 $ par année pour trois ans</w:t>
      </w:r>
      <w:r w:rsidR="007D5FD4" w:rsidRPr="00681CFB">
        <w:rPr>
          <w:rFonts w:ascii="DINPro" w:hAnsi="DINPro" w:cs="DINPro"/>
        </w:rPr>
        <w:t>)</w:t>
      </w:r>
      <w:r w:rsidR="00E13FA6" w:rsidRPr="00681CFB">
        <w:rPr>
          <w:rFonts w:ascii="DINPro" w:hAnsi="DINPro" w:cs="DINPro"/>
        </w:rPr>
        <w:t>.</w:t>
      </w:r>
    </w:p>
    <w:p w14:paraId="38FE5BFB" w14:textId="77777777" w:rsidR="00E13FA6" w:rsidRPr="00681CFB" w:rsidRDefault="00E13FA6" w:rsidP="00E13FA6">
      <w:pPr>
        <w:spacing w:after="0"/>
        <w:contextualSpacing/>
        <w:rPr>
          <w:rFonts w:ascii="DINPro" w:hAnsi="DINPro" w:cs="DINPro"/>
        </w:rPr>
      </w:pPr>
    </w:p>
    <w:p w14:paraId="111B81D4" w14:textId="77894607" w:rsidR="00E13FA6" w:rsidRPr="00681CFB" w:rsidRDefault="00000000" w:rsidP="00E13FA6">
      <w:pPr>
        <w:spacing w:after="0"/>
        <w:contextualSpacing/>
        <w:rPr>
          <w:rFonts w:ascii="DINPro" w:hAnsi="DINPro" w:cs="DINPro"/>
          <w:b/>
        </w:rPr>
      </w:pPr>
      <w:hyperlink r:id="rId10" w:history="1">
        <w:r w:rsidR="001C3F9B" w:rsidRPr="00681CFB">
          <w:rPr>
            <w:rStyle w:val="Lienhypertexte"/>
            <w:rFonts w:ascii="DINPro" w:hAnsi="DINPro" w:cs="DINPro"/>
            <w:b/>
          </w:rPr>
          <w:t>C</w:t>
        </w:r>
        <w:r w:rsidR="008D5274" w:rsidRPr="00681CFB">
          <w:rPr>
            <w:rStyle w:val="Lienhypertexte"/>
            <w:rFonts w:ascii="DINPro" w:hAnsi="DINPro" w:cs="DINPro"/>
            <w:b/>
          </w:rPr>
          <w:t>adre d’investissement dans la communauté</w:t>
        </w:r>
      </w:hyperlink>
    </w:p>
    <w:p w14:paraId="67506D17" w14:textId="08C99B09" w:rsidR="009220D2" w:rsidRPr="00681CFB" w:rsidRDefault="008D5274" w:rsidP="00E13FA6">
      <w:pPr>
        <w:spacing w:after="0"/>
        <w:contextualSpacing/>
        <w:rPr>
          <w:rFonts w:ascii="DINPro" w:hAnsi="DINPro" w:cs="DINPro"/>
        </w:rPr>
      </w:pPr>
      <w:r w:rsidRPr="00681CFB">
        <w:rPr>
          <w:rFonts w:ascii="DINPro" w:hAnsi="DINPro" w:cs="DINPro"/>
        </w:rPr>
        <w:t xml:space="preserve">Le Programme de subventions du Fonds </w:t>
      </w:r>
      <w:r w:rsidR="00E13FA6" w:rsidRPr="00681CFB">
        <w:rPr>
          <w:rFonts w:ascii="DINPro" w:hAnsi="DINPro" w:cs="DINPro"/>
        </w:rPr>
        <w:t xml:space="preserve">Neil </w:t>
      </w:r>
      <w:r w:rsidRPr="00681CFB">
        <w:rPr>
          <w:rFonts w:ascii="DINPro" w:hAnsi="DINPro" w:cs="DINPro"/>
        </w:rPr>
        <w:t xml:space="preserve">et </w:t>
      </w:r>
      <w:r w:rsidR="00E13FA6" w:rsidRPr="00681CFB">
        <w:rPr>
          <w:rFonts w:ascii="DINPro" w:hAnsi="DINPro" w:cs="DINPro"/>
        </w:rPr>
        <w:t xml:space="preserve">Louise Tillotson </w:t>
      </w:r>
      <w:r w:rsidRPr="00681CFB">
        <w:rPr>
          <w:rFonts w:ascii="DINPro" w:hAnsi="DINPro" w:cs="DINPro"/>
        </w:rPr>
        <w:t>met l’accent sur le soutien de strat</w:t>
      </w:r>
      <w:r w:rsidR="00B37622" w:rsidRPr="00681CFB">
        <w:rPr>
          <w:rFonts w:ascii="DINPro" w:hAnsi="DINPro" w:cs="DINPro"/>
        </w:rPr>
        <w:t>é</w:t>
      </w:r>
      <w:r w:rsidRPr="00681CFB">
        <w:rPr>
          <w:rFonts w:ascii="DINPro" w:hAnsi="DINPro" w:cs="DINPro"/>
        </w:rPr>
        <w:t>gies et de solutions identifiées par la communauté et animées par la communauté</w:t>
      </w:r>
      <w:r w:rsidR="00E13FA6" w:rsidRPr="00681CFB">
        <w:rPr>
          <w:rFonts w:ascii="DINPro" w:hAnsi="DINPro" w:cs="DINPro"/>
        </w:rPr>
        <w:t xml:space="preserve">. </w:t>
      </w:r>
    </w:p>
    <w:p w14:paraId="13760BB6" w14:textId="77777777" w:rsidR="009220D2" w:rsidRPr="00681CFB" w:rsidRDefault="009220D2" w:rsidP="00E13FA6">
      <w:pPr>
        <w:spacing w:after="0"/>
        <w:contextualSpacing/>
        <w:rPr>
          <w:rFonts w:ascii="DINPro" w:hAnsi="DINPro" w:cs="DINPro"/>
        </w:rPr>
      </w:pPr>
    </w:p>
    <w:p w14:paraId="32ABFE5D" w14:textId="7617CBFA" w:rsidR="00E13FA6" w:rsidRPr="00681CFB" w:rsidRDefault="008D5274" w:rsidP="00E13FA6">
      <w:pPr>
        <w:spacing w:after="0"/>
        <w:contextualSpacing/>
        <w:rPr>
          <w:rFonts w:ascii="DINPro" w:hAnsi="DINPro" w:cs="DINPro"/>
        </w:rPr>
      </w:pPr>
      <w:r w:rsidRPr="00681CFB">
        <w:rPr>
          <w:rFonts w:ascii="DINPro" w:hAnsi="DINPro" w:cs="DINPro"/>
        </w:rPr>
        <w:t xml:space="preserve">Le cadre de travail du Fonds Tillotson </w:t>
      </w:r>
      <w:r w:rsidR="00E13FA6" w:rsidRPr="00681CFB">
        <w:rPr>
          <w:rFonts w:ascii="DINPro" w:hAnsi="DINPro" w:cs="DINPro"/>
        </w:rPr>
        <w:t>:</w:t>
      </w:r>
    </w:p>
    <w:p w14:paraId="0B4A06F0" w14:textId="417CC887" w:rsidR="00E13FA6" w:rsidRPr="00681CFB" w:rsidRDefault="008D5274" w:rsidP="00323DF3">
      <w:pPr>
        <w:pStyle w:val="Paragraphedeliste"/>
        <w:numPr>
          <w:ilvl w:val="0"/>
          <w:numId w:val="36"/>
        </w:numPr>
        <w:spacing w:after="0"/>
        <w:rPr>
          <w:rFonts w:ascii="DINPro" w:hAnsi="DINPro" w:cs="DINPro"/>
        </w:rPr>
      </w:pPr>
      <w:r w:rsidRPr="00681CFB">
        <w:rPr>
          <w:rFonts w:ascii="DINPro" w:hAnsi="DINPro" w:cs="DINPro"/>
        </w:rPr>
        <w:t>Le bien-être des personnes et de la famille – en soutenant les personnes et les familles pour leur permettre de faire face à leu</w:t>
      </w:r>
      <w:r w:rsidR="00007886" w:rsidRPr="00681CFB">
        <w:rPr>
          <w:rFonts w:ascii="DINPro" w:hAnsi="DINPro" w:cs="DINPro"/>
        </w:rPr>
        <w:t>r</w:t>
      </w:r>
      <w:r w:rsidRPr="00681CFB">
        <w:rPr>
          <w:rFonts w:ascii="DINPro" w:hAnsi="DINPro" w:cs="DINPro"/>
        </w:rPr>
        <w:t>s besoins essentiels et d’atteindre le bien-être;</w:t>
      </w:r>
    </w:p>
    <w:p w14:paraId="31F8CDCD" w14:textId="22F4F148" w:rsidR="00E13FA6" w:rsidRPr="00681CFB" w:rsidRDefault="008D5274" w:rsidP="00323DF3">
      <w:pPr>
        <w:pStyle w:val="Paragraphedeliste"/>
        <w:numPr>
          <w:ilvl w:val="0"/>
          <w:numId w:val="36"/>
        </w:numPr>
        <w:spacing w:after="0"/>
        <w:rPr>
          <w:rFonts w:ascii="DINPro" w:hAnsi="DINPro" w:cs="DINPro"/>
        </w:rPr>
      </w:pPr>
      <w:r w:rsidRPr="00681CFB">
        <w:rPr>
          <w:rFonts w:ascii="DINPro" w:hAnsi="DINPro" w:cs="DINPro"/>
        </w:rPr>
        <w:t>Des écosystèmes de main-d’</w:t>
      </w:r>
      <w:r w:rsidR="00007886" w:rsidRPr="00681CFB">
        <w:rPr>
          <w:rFonts w:ascii="DINPro" w:hAnsi="DINPro" w:cs="DINPro"/>
        </w:rPr>
        <w:t xml:space="preserve">œuvre </w:t>
      </w:r>
      <w:r w:rsidRPr="00681CFB">
        <w:rPr>
          <w:rFonts w:ascii="DINPro" w:hAnsi="DINPro" w:cs="DINPro"/>
        </w:rPr>
        <w:t xml:space="preserve">saine – renforcer la capacité des employeurs locaux à maintenir et/ou augmenter leurs activités, </w:t>
      </w:r>
      <w:r w:rsidR="00007886" w:rsidRPr="00681CFB">
        <w:rPr>
          <w:rFonts w:ascii="DINPro" w:hAnsi="DINPro" w:cs="DINPro"/>
        </w:rPr>
        <w:t xml:space="preserve">développer et retenir une main-d’œuvre dynamique, </w:t>
      </w:r>
      <w:r w:rsidR="00007886" w:rsidRPr="00681CFB">
        <w:rPr>
          <w:rFonts w:ascii="DINPro" w:hAnsi="DINPro" w:cs="DINPro"/>
        </w:rPr>
        <w:lastRenderedPageBreak/>
        <w:t>stimuler l’innovation et l’entrepreneuriat, assurer la continuité des entreprises et planifier l'avenir</w:t>
      </w:r>
      <w:r w:rsidR="001C3F9B" w:rsidRPr="00681CFB">
        <w:rPr>
          <w:rFonts w:ascii="DINPro" w:hAnsi="DINPro" w:cs="DINPro"/>
        </w:rPr>
        <w:t>;</w:t>
      </w:r>
    </w:p>
    <w:p w14:paraId="30FBF62F" w14:textId="29D9144D" w:rsidR="00E13FA6" w:rsidRPr="00681CFB" w:rsidRDefault="00007886" w:rsidP="00323DF3">
      <w:pPr>
        <w:pStyle w:val="Paragraphedeliste"/>
        <w:numPr>
          <w:ilvl w:val="0"/>
          <w:numId w:val="36"/>
        </w:numPr>
        <w:spacing w:after="0"/>
        <w:rPr>
          <w:rFonts w:ascii="DINPro" w:hAnsi="DINPro" w:cs="DINPro"/>
        </w:rPr>
      </w:pPr>
      <w:r w:rsidRPr="00681CFB">
        <w:rPr>
          <w:rFonts w:ascii="DINPro" w:hAnsi="DINPro" w:cs="DINPro"/>
        </w:rPr>
        <w:t>La gestion de l’environnement – s’attaquer aux effets des changements climatiques en investissant dans des stratégies d'atténuation et d'adaptation aux changements climatiques, une gestion responsable des ressources naturelles et des efforts qui favorisent la relation entre l’humain et l'environnement naturel</w:t>
      </w:r>
      <w:r w:rsidR="00E13FA6" w:rsidRPr="00681CFB">
        <w:rPr>
          <w:rFonts w:ascii="DINPro" w:hAnsi="DINPro" w:cs="DINPro"/>
        </w:rPr>
        <w:t>;</w:t>
      </w:r>
    </w:p>
    <w:p w14:paraId="4D203234" w14:textId="25657D18" w:rsidR="00E13FA6" w:rsidRPr="00681CFB" w:rsidRDefault="00007886" w:rsidP="001C3F9B">
      <w:pPr>
        <w:pStyle w:val="Paragraphedeliste"/>
        <w:numPr>
          <w:ilvl w:val="0"/>
          <w:numId w:val="36"/>
        </w:numPr>
        <w:spacing w:after="0"/>
        <w:rPr>
          <w:rFonts w:ascii="DINPro" w:hAnsi="DINPro" w:cs="DINPro"/>
        </w:rPr>
      </w:pPr>
      <w:r w:rsidRPr="00681CFB">
        <w:rPr>
          <w:rFonts w:ascii="DINPro" w:hAnsi="DINPro" w:cs="DINPro"/>
        </w:rPr>
        <w:t xml:space="preserve">Des communautés résilientes </w:t>
      </w:r>
      <w:r w:rsidR="001C3F9B" w:rsidRPr="00681CFB">
        <w:rPr>
          <w:rFonts w:ascii="DINPro" w:hAnsi="DINPro" w:cs="DINPro"/>
        </w:rPr>
        <w:t xml:space="preserve">– </w:t>
      </w:r>
      <w:r w:rsidRPr="00681CFB">
        <w:rPr>
          <w:rFonts w:ascii="DINPro" w:hAnsi="DINPro" w:cs="DINPro"/>
        </w:rPr>
        <w:t>soutenir des initiatives et des activités qui développent la confiance, l’appartenance et les relations et mènent à des communautés plus fortes, plus résilientes.</w:t>
      </w:r>
      <w:r w:rsidR="001C3F9B" w:rsidRPr="00681CFB">
        <w:rPr>
          <w:rFonts w:ascii="DINPro" w:hAnsi="DINPro" w:cs="DINPro"/>
        </w:rPr>
        <w:t xml:space="preserve"> </w:t>
      </w:r>
    </w:p>
    <w:p w14:paraId="6732D984" w14:textId="77777777" w:rsidR="009220D2" w:rsidRPr="00681CFB" w:rsidRDefault="009220D2" w:rsidP="00327BE3">
      <w:pPr>
        <w:spacing w:after="0"/>
        <w:rPr>
          <w:rFonts w:ascii="DINPro" w:hAnsi="DINPro" w:cs="DINPro"/>
        </w:rPr>
      </w:pPr>
    </w:p>
    <w:p w14:paraId="24CF9AFC" w14:textId="58541AAD" w:rsidR="00E13FA6" w:rsidRPr="00681CFB" w:rsidRDefault="00007886" w:rsidP="00E13FA6">
      <w:pPr>
        <w:autoSpaceDE w:val="0"/>
        <w:autoSpaceDN w:val="0"/>
        <w:adjustRightInd w:val="0"/>
        <w:spacing w:after="0" w:line="240" w:lineRule="auto"/>
        <w:rPr>
          <w:rFonts w:ascii="DINPro" w:hAnsi="DINPro" w:cs="DINPro"/>
          <w:b/>
          <w:bCs/>
        </w:rPr>
      </w:pPr>
      <w:r w:rsidRPr="00681CFB">
        <w:rPr>
          <w:rFonts w:ascii="DINPro" w:hAnsi="DINPro" w:cs="DINPro"/>
          <w:b/>
          <w:bCs/>
        </w:rPr>
        <w:t xml:space="preserve">Critères des besoins d’immobilisations </w:t>
      </w:r>
    </w:p>
    <w:p w14:paraId="4B797CF4" w14:textId="49BF1D7E" w:rsidR="00E13FA6" w:rsidRPr="00681CFB" w:rsidRDefault="00D20A5F" w:rsidP="00E13FA6">
      <w:pPr>
        <w:autoSpaceDE w:val="0"/>
        <w:autoSpaceDN w:val="0"/>
        <w:adjustRightInd w:val="0"/>
        <w:spacing w:after="0" w:line="240" w:lineRule="auto"/>
        <w:rPr>
          <w:rFonts w:ascii="DINPro" w:hAnsi="DINPro" w:cs="DINPro"/>
        </w:rPr>
      </w:pPr>
      <w:r w:rsidRPr="00681CFB">
        <w:rPr>
          <w:rFonts w:ascii="DINPro" w:hAnsi="DINPro" w:cs="DINPro"/>
        </w:rPr>
        <w:t xml:space="preserve">Le Fonds </w:t>
      </w:r>
      <w:r w:rsidR="00E13FA6" w:rsidRPr="00681CFB">
        <w:rPr>
          <w:rFonts w:ascii="DINPro" w:hAnsi="DINPro" w:cs="DINPro"/>
        </w:rPr>
        <w:t xml:space="preserve">Neil </w:t>
      </w:r>
      <w:r w:rsidRPr="00681CFB">
        <w:rPr>
          <w:rFonts w:ascii="DINPro" w:hAnsi="DINPro" w:cs="DINPro"/>
        </w:rPr>
        <w:t>et</w:t>
      </w:r>
      <w:r w:rsidR="00E13FA6" w:rsidRPr="00681CFB">
        <w:rPr>
          <w:rFonts w:ascii="DINPro" w:hAnsi="DINPro" w:cs="DINPro"/>
        </w:rPr>
        <w:t xml:space="preserve"> Louise Tillotson </w:t>
      </w:r>
      <w:r w:rsidRPr="00681CFB">
        <w:rPr>
          <w:rFonts w:ascii="DINPro" w:hAnsi="DINPro" w:cs="DINPro"/>
        </w:rPr>
        <w:t>a une préférence pour les projets d’immobilisations qui requièrent des dollars en milieu ou en fin de parcours. Les demandes acceptées feront la démonstration :</w:t>
      </w:r>
    </w:p>
    <w:p w14:paraId="0EBB7A74" w14:textId="3DC7217A" w:rsidR="00E13FA6" w:rsidRPr="00681CFB" w:rsidRDefault="00D20A5F" w:rsidP="00526694">
      <w:pPr>
        <w:pStyle w:val="Paragraphedeliste"/>
        <w:numPr>
          <w:ilvl w:val="0"/>
          <w:numId w:val="42"/>
        </w:numPr>
        <w:autoSpaceDE w:val="0"/>
        <w:autoSpaceDN w:val="0"/>
        <w:adjustRightInd w:val="0"/>
        <w:spacing w:after="0" w:line="240" w:lineRule="auto"/>
        <w:rPr>
          <w:rFonts w:ascii="DINPro" w:hAnsi="DINPro" w:cs="DINPro"/>
        </w:rPr>
      </w:pPr>
      <w:r w:rsidRPr="00681CFB">
        <w:rPr>
          <w:rFonts w:ascii="DINPro" w:hAnsi="DINPro" w:cs="DINPro"/>
        </w:rPr>
        <w:t xml:space="preserve">D’un plan bien élaboré de construction / rénovation qui inclut un plan de financement des dépenses capitales ainsi que d’exploitation continue et d’entretien; </w:t>
      </w:r>
    </w:p>
    <w:p w14:paraId="49557780" w14:textId="5CD650A3" w:rsidR="00E13FA6" w:rsidRPr="00681CFB" w:rsidRDefault="00D20A5F" w:rsidP="00526694">
      <w:pPr>
        <w:pStyle w:val="Paragraphedeliste"/>
        <w:numPr>
          <w:ilvl w:val="0"/>
          <w:numId w:val="42"/>
        </w:numPr>
        <w:autoSpaceDE w:val="0"/>
        <w:autoSpaceDN w:val="0"/>
        <w:adjustRightInd w:val="0"/>
        <w:spacing w:after="0" w:line="240" w:lineRule="auto"/>
        <w:rPr>
          <w:rFonts w:ascii="DINPro" w:hAnsi="DINPro" w:cs="DINPro"/>
        </w:rPr>
      </w:pPr>
      <w:r w:rsidRPr="00681CFB">
        <w:rPr>
          <w:rFonts w:ascii="DINPro" w:hAnsi="DINPro" w:cs="DINPro"/>
        </w:rPr>
        <w:t>Une combinaison diversifiée de soutien financier pour le projet d’immobilisations et le fonctionnement continu;</w:t>
      </w:r>
    </w:p>
    <w:p w14:paraId="6ED64EA7" w14:textId="16550854" w:rsidR="00E13FA6" w:rsidRPr="00681CFB" w:rsidRDefault="00D20A5F" w:rsidP="00526694">
      <w:pPr>
        <w:pStyle w:val="Paragraphedeliste"/>
        <w:numPr>
          <w:ilvl w:val="0"/>
          <w:numId w:val="42"/>
        </w:numPr>
        <w:autoSpaceDE w:val="0"/>
        <w:autoSpaceDN w:val="0"/>
        <w:adjustRightInd w:val="0"/>
        <w:spacing w:after="0" w:line="240" w:lineRule="auto"/>
        <w:rPr>
          <w:rFonts w:ascii="DINPro" w:hAnsi="DINPro" w:cs="DINPro"/>
        </w:rPr>
      </w:pPr>
      <w:r w:rsidRPr="00681CFB">
        <w:rPr>
          <w:rFonts w:ascii="DINPro" w:hAnsi="DINPro" w:cs="DINPro"/>
        </w:rPr>
        <w:t xml:space="preserve">Un large soutien de la communauté; et </w:t>
      </w:r>
    </w:p>
    <w:p w14:paraId="2E943EC0" w14:textId="51BEE8B4" w:rsidR="00E13FA6" w:rsidRPr="00681CFB" w:rsidRDefault="00D20A5F" w:rsidP="00526694">
      <w:pPr>
        <w:pStyle w:val="Paragraphedeliste"/>
        <w:numPr>
          <w:ilvl w:val="0"/>
          <w:numId w:val="42"/>
        </w:numPr>
        <w:spacing w:after="0"/>
        <w:rPr>
          <w:rFonts w:ascii="DINPro" w:hAnsi="DINPro" w:cs="DINPro"/>
        </w:rPr>
      </w:pPr>
      <w:r w:rsidRPr="00681CFB">
        <w:rPr>
          <w:rFonts w:ascii="DINPro" w:eastAsia="SymbolMT" w:hAnsi="DINPro" w:cs="DINPro"/>
        </w:rPr>
        <w:t>Un personnel et/ou un conseil d'administration engagé ayant la capacité de mettre en œuvre le plan</w:t>
      </w:r>
      <w:r w:rsidR="00E13FA6" w:rsidRPr="00681CFB">
        <w:rPr>
          <w:rFonts w:ascii="DINPro" w:hAnsi="DINPro" w:cs="DINPro"/>
        </w:rPr>
        <w:t>.</w:t>
      </w:r>
    </w:p>
    <w:p w14:paraId="08381CC0" w14:textId="77777777" w:rsidR="00E13FA6" w:rsidRPr="00681CFB" w:rsidRDefault="00E13FA6" w:rsidP="00E13FA6">
      <w:pPr>
        <w:autoSpaceDE w:val="0"/>
        <w:autoSpaceDN w:val="0"/>
        <w:adjustRightInd w:val="0"/>
        <w:spacing w:after="0" w:line="240" w:lineRule="auto"/>
        <w:rPr>
          <w:rFonts w:ascii="DINPro" w:hAnsi="DINPro" w:cs="DINPro"/>
        </w:rPr>
      </w:pPr>
    </w:p>
    <w:p w14:paraId="6BB3B2C9" w14:textId="0A503632" w:rsidR="00E13FA6" w:rsidRPr="00681CFB" w:rsidRDefault="00D20A5F" w:rsidP="00E13FA6">
      <w:pPr>
        <w:autoSpaceDE w:val="0"/>
        <w:autoSpaceDN w:val="0"/>
        <w:adjustRightInd w:val="0"/>
        <w:spacing w:after="0" w:line="240" w:lineRule="auto"/>
        <w:rPr>
          <w:rFonts w:ascii="DINPro" w:hAnsi="DINPro" w:cs="DINPro"/>
          <w:b/>
        </w:rPr>
      </w:pPr>
      <w:r w:rsidRPr="00681CFB">
        <w:rPr>
          <w:rFonts w:ascii="DINPro" w:hAnsi="DINPro" w:cs="DINPro"/>
          <w:b/>
        </w:rPr>
        <w:t>Comment postuler</w:t>
      </w:r>
    </w:p>
    <w:p w14:paraId="67DEBC55" w14:textId="0E0AD7AC" w:rsidR="00E13FA6" w:rsidRPr="00681CFB" w:rsidRDefault="00D20A5F" w:rsidP="00E13FA6">
      <w:pPr>
        <w:autoSpaceDE w:val="0"/>
        <w:autoSpaceDN w:val="0"/>
        <w:adjustRightInd w:val="0"/>
        <w:spacing w:after="0" w:line="240" w:lineRule="auto"/>
        <w:rPr>
          <w:rFonts w:ascii="DINPro" w:hAnsi="DINPro" w:cs="DINPro"/>
        </w:rPr>
      </w:pPr>
      <w:r w:rsidRPr="00681CFB">
        <w:rPr>
          <w:rFonts w:ascii="DINPro" w:hAnsi="DINPro" w:cs="DINPro"/>
        </w:rPr>
        <w:t>Le Fonds Neil et Louise Tillotson n'accorde généralement pas plus d'une subvention à la fois à une organisation et préfère n'examiner qu'une seule proposition à la fois quel que soit l</w:t>
      </w:r>
      <w:r w:rsidR="00313EA7" w:rsidRPr="00681CFB">
        <w:rPr>
          <w:rFonts w:ascii="DINPro" w:hAnsi="DINPro" w:cs="DINPro"/>
        </w:rPr>
        <w:t>’organisme</w:t>
      </w:r>
      <w:r w:rsidRPr="00681CFB">
        <w:rPr>
          <w:rFonts w:ascii="DINPro" w:hAnsi="DINPro" w:cs="DINPro"/>
        </w:rPr>
        <w:t xml:space="preserve"> demandeur. Si vous soumettez une demande qui n'obtient pas de financement, vous pouvez présenter une nouvelle demande lors du prochain cycle de subvention. Tous les documents de candidature peuvent être soumis en anglais ou en français</w:t>
      </w:r>
      <w:r w:rsidR="00E13FA6" w:rsidRPr="00681CFB">
        <w:rPr>
          <w:rFonts w:ascii="DINPro" w:hAnsi="DINPro" w:cs="DINPro"/>
        </w:rPr>
        <w:t>.</w:t>
      </w:r>
    </w:p>
    <w:p w14:paraId="66EBF7B2" w14:textId="77777777" w:rsidR="00FB43BD" w:rsidRPr="00681CFB" w:rsidRDefault="00FB43BD" w:rsidP="00E13FA6">
      <w:pPr>
        <w:autoSpaceDE w:val="0"/>
        <w:autoSpaceDN w:val="0"/>
        <w:adjustRightInd w:val="0"/>
        <w:spacing w:after="0" w:line="240" w:lineRule="auto"/>
        <w:rPr>
          <w:rFonts w:ascii="DINPro" w:hAnsi="DINPro" w:cs="DINPro"/>
          <w:b/>
          <w:bCs/>
          <w:color w:val="000000"/>
        </w:rPr>
      </w:pPr>
    </w:p>
    <w:p w14:paraId="058A5A4F" w14:textId="0D38EA69" w:rsidR="00E13FA6" w:rsidRPr="00681CFB" w:rsidRDefault="00313EA7" w:rsidP="00C07A69">
      <w:pPr>
        <w:autoSpaceDE w:val="0"/>
        <w:autoSpaceDN w:val="0"/>
        <w:adjustRightInd w:val="0"/>
        <w:spacing w:after="0" w:line="240" w:lineRule="auto"/>
        <w:rPr>
          <w:rFonts w:ascii="DINPro" w:hAnsi="DINPro" w:cs="DINPro"/>
          <w:b/>
          <w:color w:val="000000"/>
        </w:rPr>
      </w:pPr>
      <w:r w:rsidRPr="00681CFB">
        <w:rPr>
          <w:rFonts w:ascii="DINPro" w:hAnsi="DINPro" w:cs="DINPro"/>
          <w:b/>
          <w:color w:val="000000"/>
        </w:rPr>
        <w:t xml:space="preserve">Programme des subventions locales </w:t>
      </w:r>
      <w:r w:rsidR="00AE0B22" w:rsidRPr="00681CFB">
        <w:rPr>
          <w:rFonts w:ascii="DINPro" w:hAnsi="DINPro" w:cs="DINPro"/>
          <w:b/>
          <w:color w:val="000000"/>
        </w:rPr>
        <w:t>(</w:t>
      </w:r>
      <w:r w:rsidRPr="00681CFB">
        <w:rPr>
          <w:rFonts w:ascii="DINPro" w:hAnsi="DINPro" w:cs="DINPro"/>
          <w:b/>
          <w:color w:val="000000"/>
        </w:rPr>
        <w:t xml:space="preserve">demandes jusqu’à </w:t>
      </w:r>
      <w:r w:rsidR="00AE0B22" w:rsidRPr="00681CFB">
        <w:rPr>
          <w:rFonts w:ascii="DINPro" w:hAnsi="DINPro" w:cs="DINPro"/>
          <w:b/>
          <w:color w:val="000000"/>
        </w:rPr>
        <w:t>20</w:t>
      </w:r>
      <w:r w:rsidRPr="00681CFB">
        <w:rPr>
          <w:rFonts w:ascii="DINPro" w:hAnsi="DINPro" w:cs="DINPro"/>
          <w:b/>
          <w:color w:val="000000"/>
        </w:rPr>
        <w:t> </w:t>
      </w:r>
      <w:r w:rsidR="00AE0B22" w:rsidRPr="00681CFB">
        <w:rPr>
          <w:rFonts w:ascii="DINPro" w:hAnsi="DINPro" w:cs="DINPro"/>
          <w:b/>
          <w:color w:val="000000"/>
        </w:rPr>
        <w:t>000</w:t>
      </w:r>
      <w:r w:rsidRPr="00681CFB">
        <w:rPr>
          <w:rFonts w:ascii="DINPro" w:hAnsi="DINPro" w:cs="DINPro"/>
          <w:b/>
          <w:color w:val="000000"/>
        </w:rPr>
        <w:t xml:space="preserve"> $</w:t>
      </w:r>
      <w:r w:rsidR="00AE0B22" w:rsidRPr="00681CFB">
        <w:rPr>
          <w:rFonts w:ascii="DINPro" w:hAnsi="DINPro" w:cs="DINPro"/>
          <w:b/>
          <w:color w:val="000000"/>
        </w:rPr>
        <w:t>)</w:t>
      </w:r>
    </w:p>
    <w:p w14:paraId="344FD35C" w14:textId="04C80909" w:rsidR="00A67CE2" w:rsidRPr="00681CFB" w:rsidRDefault="00313EA7" w:rsidP="00A67CE2">
      <w:pPr>
        <w:spacing w:after="0"/>
        <w:rPr>
          <w:rFonts w:ascii="DINPro" w:hAnsi="DINPro" w:cs="DINPro"/>
        </w:rPr>
      </w:pPr>
      <w:r w:rsidRPr="00681CFB">
        <w:rPr>
          <w:rFonts w:ascii="DINPro" w:hAnsi="DINPro" w:cs="DINPro"/>
        </w:rPr>
        <w:t xml:space="preserve">Toutes les demandes doivent être soumises au moyen de notre portail de subventions </w:t>
      </w:r>
      <w:hyperlink r:id="rId11" w:history="1">
        <w:proofErr w:type="spellStart"/>
        <w:r w:rsidR="00932BA7" w:rsidRPr="00681CFB">
          <w:rPr>
            <w:rStyle w:val="Lienhypertexte"/>
            <w:rFonts w:ascii="DINPro" w:hAnsi="DINPro" w:cs="DINPro"/>
          </w:rPr>
          <w:t>GrantSource</w:t>
        </w:r>
        <w:proofErr w:type="spellEnd"/>
      </w:hyperlink>
      <w:r w:rsidR="00F44206" w:rsidRPr="00681CFB">
        <w:rPr>
          <w:rFonts w:ascii="DINPro" w:hAnsi="DINPro" w:cs="DINPro"/>
        </w:rPr>
        <w:t xml:space="preserve">.  </w:t>
      </w:r>
      <w:r w:rsidRPr="00681CFB">
        <w:rPr>
          <w:rFonts w:ascii="DINPro" w:hAnsi="DINPro" w:cs="DINPro"/>
        </w:rPr>
        <w:t>Répondre aux quatre questions suivantes, plus un budget</w:t>
      </w:r>
      <w:r w:rsidR="00655A81" w:rsidRPr="00681CFB">
        <w:rPr>
          <w:rFonts w:ascii="DINPro" w:hAnsi="DINPro" w:cs="DINPro"/>
        </w:rPr>
        <w:t xml:space="preserve">. </w:t>
      </w:r>
      <w:r w:rsidR="00A67CE2" w:rsidRPr="00681CFB">
        <w:rPr>
          <w:rFonts w:ascii="DINPro" w:hAnsi="DINPro" w:cs="DINPro"/>
        </w:rPr>
        <w:t>Il n'y a pas de limite d</w:t>
      </w:r>
      <w:r w:rsidR="00A67CE2" w:rsidRPr="00681CFB">
        <w:rPr>
          <w:rFonts w:ascii="DINPro" w:hAnsi="DINPro" w:cs="DINPro"/>
        </w:rPr>
        <w:t>u</w:t>
      </w:r>
      <w:r w:rsidR="00A67CE2" w:rsidRPr="00681CFB">
        <w:rPr>
          <w:rFonts w:ascii="DINPro" w:hAnsi="DINPro" w:cs="DINPro"/>
        </w:rPr>
        <w:t xml:space="preserve"> nombre de mots, mais 300 mots ou moins sont encouragés.</w:t>
      </w:r>
    </w:p>
    <w:p w14:paraId="3B0821F8" w14:textId="7802A595" w:rsidR="00F44206" w:rsidRPr="00681CFB" w:rsidRDefault="00A67CE2" w:rsidP="00A67CE2">
      <w:pPr>
        <w:pStyle w:val="Paragraphedeliste"/>
        <w:numPr>
          <w:ilvl w:val="0"/>
          <w:numId w:val="17"/>
        </w:numPr>
        <w:spacing w:after="0" w:line="240" w:lineRule="auto"/>
        <w:rPr>
          <w:rFonts w:ascii="DINPro" w:hAnsi="DINPro" w:cs="DINPro"/>
        </w:rPr>
      </w:pPr>
      <w:bookmarkStart w:id="0" w:name="_Hlk120606590"/>
      <w:r w:rsidRPr="00681CFB">
        <w:rPr>
          <w:rFonts w:ascii="DINPro" w:eastAsia="Times New Roman" w:hAnsi="DINPro" w:cs="DINPro"/>
          <w:b/>
          <w:bCs/>
        </w:rPr>
        <w:t>Énoncé de m</w:t>
      </w:r>
      <w:r w:rsidR="00A22352" w:rsidRPr="00681CFB">
        <w:rPr>
          <w:rFonts w:ascii="DINPro" w:eastAsia="Times New Roman" w:hAnsi="DINPro" w:cs="DINPro"/>
          <w:b/>
          <w:bCs/>
        </w:rPr>
        <w:t>ission/</w:t>
      </w:r>
      <w:r w:rsidRPr="00681CFB">
        <w:rPr>
          <w:rFonts w:ascii="DINPro" w:eastAsia="Times New Roman" w:hAnsi="DINPro" w:cs="DINPro"/>
          <w:b/>
          <w:bCs/>
        </w:rPr>
        <w:t xml:space="preserve">objectif : </w:t>
      </w:r>
      <w:r w:rsidRPr="00681CFB">
        <w:rPr>
          <w:rFonts w:ascii="DINPro" w:hAnsi="DINPro" w:cs="DINPro"/>
        </w:rPr>
        <w:t>Veuillez énoncer brièvement en une ou deux phrases la mission / l’objectif de votre organisation</w:t>
      </w:r>
      <w:r w:rsidR="00A22352" w:rsidRPr="00681CFB">
        <w:rPr>
          <w:rFonts w:ascii="DINPro" w:hAnsi="DINPro" w:cs="DINPro"/>
        </w:rPr>
        <w:t>.</w:t>
      </w:r>
    </w:p>
    <w:p w14:paraId="420BFE3C" w14:textId="72EF5BAE" w:rsidR="00A22352" w:rsidRPr="00681CFB" w:rsidRDefault="00A67CE2" w:rsidP="00A22352">
      <w:pPr>
        <w:pStyle w:val="Paragraphedeliste"/>
        <w:numPr>
          <w:ilvl w:val="0"/>
          <w:numId w:val="17"/>
        </w:numPr>
        <w:spacing w:after="0" w:line="240" w:lineRule="auto"/>
        <w:rPr>
          <w:rFonts w:ascii="DINPro" w:hAnsi="DINPro" w:cs="DINPro"/>
          <w:b/>
        </w:rPr>
      </w:pPr>
      <w:r w:rsidRPr="00681CFB">
        <w:rPr>
          <w:rFonts w:ascii="DINPro" w:hAnsi="DINPro" w:cs="DINPro"/>
          <w:b/>
        </w:rPr>
        <w:t xml:space="preserve">Impact organisationnel </w:t>
      </w:r>
      <w:r w:rsidR="00990E79" w:rsidRPr="00681CFB">
        <w:rPr>
          <w:rFonts w:ascii="DINPro" w:hAnsi="DINPro" w:cs="DINPro"/>
          <w:b/>
        </w:rPr>
        <w:t xml:space="preserve">: </w:t>
      </w:r>
      <w:r w:rsidRPr="00681CFB">
        <w:rPr>
          <w:rFonts w:ascii="DINPro" w:hAnsi="DINPro" w:cs="DINPro"/>
        </w:rPr>
        <w:t>Quel a été l’impact de votre organisation sur sa communauté ou ses constituants au cours des dernières années</w:t>
      </w:r>
      <w:r w:rsidR="00A22352" w:rsidRPr="00681CFB">
        <w:rPr>
          <w:rFonts w:ascii="DINPro" w:hAnsi="DINPro" w:cs="DINPro"/>
        </w:rPr>
        <w:t xml:space="preserve">? </w:t>
      </w:r>
    </w:p>
    <w:p w14:paraId="61252726" w14:textId="4C1B346F" w:rsidR="00A22352" w:rsidRPr="00681CFB" w:rsidRDefault="00A22352" w:rsidP="00A22352">
      <w:pPr>
        <w:pStyle w:val="Paragraphedeliste"/>
        <w:numPr>
          <w:ilvl w:val="0"/>
          <w:numId w:val="17"/>
        </w:numPr>
        <w:spacing w:after="0" w:line="240" w:lineRule="auto"/>
        <w:rPr>
          <w:rFonts w:ascii="DINPro" w:hAnsi="DINPro" w:cs="DINPro"/>
          <w:b/>
        </w:rPr>
      </w:pPr>
      <w:r w:rsidRPr="00681CFB">
        <w:rPr>
          <w:rFonts w:ascii="DINPro" w:hAnsi="DINPro" w:cs="DINPro"/>
          <w:b/>
        </w:rPr>
        <w:t>Description</w:t>
      </w:r>
      <w:r w:rsidR="007D5FD4" w:rsidRPr="00681CFB">
        <w:rPr>
          <w:rFonts w:ascii="DINPro" w:hAnsi="DINPro" w:cs="DINPro"/>
          <w:b/>
        </w:rPr>
        <w:t xml:space="preserve"> (</w:t>
      </w:r>
      <w:r w:rsidR="00A67CE2" w:rsidRPr="00681CFB">
        <w:rPr>
          <w:rFonts w:ascii="DINPro" w:hAnsi="DINPro" w:cs="DINPro"/>
          <w:b/>
        </w:rPr>
        <w:t xml:space="preserve">choisir l’un ou l’autre, le personnel de </w:t>
      </w:r>
      <w:r w:rsidR="007D5FD4" w:rsidRPr="00681CFB">
        <w:rPr>
          <w:rFonts w:ascii="DINPro" w:hAnsi="DINPro" w:cs="DINPro"/>
          <w:b/>
        </w:rPr>
        <w:t xml:space="preserve">Tillotson </w:t>
      </w:r>
      <w:r w:rsidR="00A67CE2" w:rsidRPr="00681CFB">
        <w:rPr>
          <w:rFonts w:ascii="DINPro" w:hAnsi="DINPro" w:cs="DINPro"/>
          <w:b/>
        </w:rPr>
        <w:t>peut vous aider à prendre une décision</w:t>
      </w:r>
      <w:r w:rsidR="007D5FD4" w:rsidRPr="00681CFB">
        <w:rPr>
          <w:rFonts w:ascii="DINPro" w:hAnsi="DINPro" w:cs="DINPro"/>
          <w:b/>
        </w:rPr>
        <w:t>)</w:t>
      </w:r>
      <w:r w:rsidR="00A67CE2" w:rsidRPr="00681CFB">
        <w:rPr>
          <w:rFonts w:ascii="DINPro" w:hAnsi="DINPro" w:cs="DINPro"/>
          <w:b/>
        </w:rPr>
        <w:t xml:space="preserve"> </w:t>
      </w:r>
      <w:r w:rsidRPr="00681CFB">
        <w:rPr>
          <w:rFonts w:ascii="DINPro" w:hAnsi="DINPro" w:cs="DINPro"/>
          <w:b/>
        </w:rPr>
        <w:t>:</w:t>
      </w:r>
    </w:p>
    <w:p w14:paraId="695BD776" w14:textId="3768E90D" w:rsidR="00A22352" w:rsidRPr="00681CFB" w:rsidRDefault="00A67CE2" w:rsidP="00A22352">
      <w:pPr>
        <w:spacing w:after="0" w:line="240" w:lineRule="auto"/>
        <w:ind w:left="720"/>
        <w:rPr>
          <w:rFonts w:ascii="DINPro" w:hAnsi="DINPro" w:cs="DINPro"/>
        </w:rPr>
      </w:pPr>
      <w:r w:rsidRPr="00681CFB">
        <w:rPr>
          <w:rFonts w:ascii="DINPro" w:hAnsi="DINPro" w:cs="DINPro"/>
        </w:rPr>
        <w:t xml:space="preserve">POUR UN SOUTIEN AU FONCTIONNEMENT </w:t>
      </w:r>
      <w:r w:rsidR="00A22352" w:rsidRPr="00681CFB">
        <w:rPr>
          <w:rFonts w:ascii="DINPro" w:hAnsi="DINPro" w:cs="DINPro"/>
        </w:rPr>
        <w:t>: </w:t>
      </w:r>
      <w:r w:rsidRPr="00681CFB">
        <w:rPr>
          <w:rFonts w:ascii="DINPro" w:hAnsi="DINPro" w:cs="DINPro"/>
        </w:rPr>
        <w:t>Comment la subvention aidera-t-elle</w:t>
      </w:r>
      <w:r w:rsidR="00A22352" w:rsidRPr="00681CFB">
        <w:rPr>
          <w:rFonts w:ascii="DINPro" w:hAnsi="DINPro" w:cs="DINPro"/>
        </w:rPr>
        <w:t xml:space="preserve"> </w:t>
      </w:r>
      <w:r w:rsidRPr="00681CFB">
        <w:rPr>
          <w:rFonts w:ascii="DINPro" w:hAnsi="DINPro" w:cs="DINPro"/>
        </w:rPr>
        <w:t>votre organisation à développer sa capacité organisationnelle et à faire progresser vos objectifs et vos stratégies</w:t>
      </w:r>
      <w:r w:rsidR="00A22352" w:rsidRPr="00681CFB">
        <w:rPr>
          <w:rFonts w:ascii="DINPro" w:hAnsi="DINPro" w:cs="DINPro"/>
        </w:rPr>
        <w:t>?</w:t>
      </w:r>
    </w:p>
    <w:p w14:paraId="0365B0F9" w14:textId="6DF7AC3B" w:rsidR="00A22352" w:rsidRPr="00681CFB" w:rsidRDefault="00A67CE2" w:rsidP="00AE404B">
      <w:pPr>
        <w:spacing w:after="0" w:line="240" w:lineRule="auto"/>
        <w:ind w:left="720" w:hanging="11"/>
        <w:rPr>
          <w:rFonts w:ascii="DINPro" w:hAnsi="DINPro" w:cs="DINPro"/>
        </w:rPr>
      </w:pPr>
      <w:r w:rsidRPr="00681CFB">
        <w:rPr>
          <w:rFonts w:ascii="DINPro" w:hAnsi="DINPro" w:cs="DINPro"/>
        </w:rPr>
        <w:t xml:space="preserve">POUR UN SOUTIEN BASÉ SUR UN PROJET </w:t>
      </w:r>
      <w:r w:rsidR="00A22352" w:rsidRPr="00681CFB">
        <w:rPr>
          <w:rFonts w:ascii="DINPro" w:hAnsi="DINPro" w:cs="DINPro"/>
        </w:rPr>
        <w:t>: </w:t>
      </w:r>
      <w:r w:rsidRPr="00681CFB">
        <w:rPr>
          <w:rFonts w:ascii="DINPro" w:hAnsi="DINPro" w:cs="DINPro"/>
        </w:rPr>
        <w:t>Veuillez décrire votre projet incluant un exposé descriptif,</w:t>
      </w:r>
      <w:r w:rsidRPr="00681CFB">
        <w:t xml:space="preserve"> </w:t>
      </w:r>
      <w:r w:rsidRPr="00681CFB">
        <w:rPr>
          <w:rFonts w:ascii="DINPro" w:hAnsi="DINPro" w:cs="DINPro"/>
        </w:rPr>
        <w:t>les résultats escomptés, les partenaires communautaires qui pourraient être impliqués et toute autre information qui pourrait être utile</w:t>
      </w:r>
      <w:r w:rsidR="00A22352" w:rsidRPr="00681CFB">
        <w:rPr>
          <w:rFonts w:ascii="DINPro" w:hAnsi="DINPro" w:cs="DINPro"/>
        </w:rPr>
        <w:t>.</w:t>
      </w:r>
    </w:p>
    <w:p w14:paraId="6F42F188" w14:textId="72CDC2A5" w:rsidR="00A22352" w:rsidRPr="00681CFB" w:rsidRDefault="00A67CE2" w:rsidP="00A22352">
      <w:pPr>
        <w:pStyle w:val="Paragraphedeliste"/>
        <w:numPr>
          <w:ilvl w:val="0"/>
          <w:numId w:val="17"/>
        </w:numPr>
        <w:spacing w:after="0" w:line="240" w:lineRule="auto"/>
        <w:rPr>
          <w:rFonts w:ascii="DINPro" w:hAnsi="DINPro" w:cs="DINPro"/>
        </w:rPr>
      </w:pPr>
      <w:r w:rsidRPr="00681CFB">
        <w:rPr>
          <w:rFonts w:ascii="DINPro" w:hAnsi="DINPro" w:cs="DINPro"/>
          <w:b/>
        </w:rPr>
        <w:t xml:space="preserve">Information additionnelle </w:t>
      </w:r>
      <w:r w:rsidR="00990E79" w:rsidRPr="00681CFB">
        <w:rPr>
          <w:rFonts w:ascii="DINPro" w:hAnsi="DINPro" w:cs="DINPro"/>
          <w:b/>
        </w:rPr>
        <w:t>:</w:t>
      </w:r>
      <w:r w:rsidR="00990E79" w:rsidRPr="00681CFB">
        <w:rPr>
          <w:rFonts w:ascii="DINPro" w:hAnsi="DINPro" w:cs="DINPro"/>
        </w:rPr>
        <w:t xml:space="preserve"> </w:t>
      </w:r>
      <w:r w:rsidRPr="00681CFB">
        <w:rPr>
          <w:rFonts w:ascii="DINPro" w:hAnsi="DINPro" w:cs="DINPro"/>
        </w:rPr>
        <w:t>Y a-t-il quelque chose d’autre dont vous aimeriez nous faire part</w:t>
      </w:r>
      <w:r w:rsidR="00AE404B">
        <w:rPr>
          <w:rFonts w:ascii="DINPro" w:hAnsi="DINPro" w:cs="DINPro"/>
        </w:rPr>
        <w:t>?</w:t>
      </w:r>
    </w:p>
    <w:bookmarkEnd w:id="0"/>
    <w:p w14:paraId="7638EDA2" w14:textId="59494969" w:rsidR="00F44206" w:rsidRPr="00681CFB" w:rsidRDefault="00A22352" w:rsidP="00A22352">
      <w:pPr>
        <w:pStyle w:val="Paragraphedeliste"/>
        <w:numPr>
          <w:ilvl w:val="0"/>
          <w:numId w:val="17"/>
        </w:numPr>
        <w:spacing w:after="0" w:line="240" w:lineRule="auto"/>
        <w:rPr>
          <w:rFonts w:ascii="DINPro" w:hAnsi="DINPro" w:cs="DINPro"/>
        </w:rPr>
      </w:pPr>
      <w:r w:rsidRPr="00681CFB">
        <w:rPr>
          <w:rFonts w:ascii="DINPro" w:hAnsi="DINPro" w:cs="DINPro"/>
          <w:b/>
        </w:rPr>
        <w:lastRenderedPageBreak/>
        <w:t>Budget</w:t>
      </w:r>
      <w:r w:rsidR="00A67CE2" w:rsidRPr="00681CFB">
        <w:rPr>
          <w:rFonts w:ascii="DINPro" w:hAnsi="DINPro" w:cs="DINPro"/>
          <w:b/>
        </w:rPr>
        <w:t xml:space="preserve"> </w:t>
      </w:r>
      <w:r w:rsidR="00990E79" w:rsidRPr="00681CFB">
        <w:rPr>
          <w:rFonts w:ascii="DINPro" w:hAnsi="DINPro" w:cs="DINPro"/>
          <w:b/>
        </w:rPr>
        <w:t>:</w:t>
      </w:r>
      <w:r w:rsidR="00990E79" w:rsidRPr="00681CFB">
        <w:rPr>
          <w:rFonts w:ascii="DINPro" w:hAnsi="DINPro" w:cs="DINPro"/>
        </w:rPr>
        <w:t xml:space="preserve"> </w:t>
      </w:r>
      <w:bookmarkStart w:id="1" w:name="_Hlk120606783"/>
      <w:r w:rsidR="00A67CE2" w:rsidRPr="00681CFB">
        <w:rPr>
          <w:rFonts w:ascii="DINPro" w:hAnsi="DINPro" w:cs="DINPro"/>
        </w:rPr>
        <w:t>Pour les demandes basées sur un projet, veuillez télécharger le budget de votre projet.</w:t>
      </w:r>
      <w:r w:rsidR="00B37622" w:rsidRPr="00681CFB">
        <w:rPr>
          <w:rFonts w:ascii="DINPro" w:hAnsi="DINPro" w:cs="DINPro"/>
        </w:rPr>
        <w:t xml:space="preserve"> </w:t>
      </w:r>
      <w:r w:rsidR="00A67CE2" w:rsidRPr="00681CFB">
        <w:rPr>
          <w:rFonts w:ascii="DINPro" w:hAnsi="DINPro" w:cs="DINPro"/>
        </w:rPr>
        <w:t xml:space="preserve">Pour </w:t>
      </w:r>
      <w:r w:rsidR="00B37622" w:rsidRPr="00681CFB">
        <w:rPr>
          <w:rFonts w:ascii="DINPro" w:hAnsi="DINPro" w:cs="DINPro"/>
        </w:rPr>
        <w:t>les demandes de</w:t>
      </w:r>
      <w:r w:rsidR="00A67CE2" w:rsidRPr="00681CFB">
        <w:rPr>
          <w:rFonts w:ascii="DINPro" w:hAnsi="DINPro" w:cs="DINPro"/>
        </w:rPr>
        <w:t xml:space="preserve"> soutien au fonctionnement, </w:t>
      </w:r>
      <w:r w:rsidR="00B37622" w:rsidRPr="00681CFB">
        <w:rPr>
          <w:rFonts w:ascii="DINPro" w:hAnsi="DINPro" w:cs="DINPro"/>
        </w:rPr>
        <w:t>les budgets de fonctionnement disponibles sur le profil de l’organisation seront examinés</w:t>
      </w:r>
      <w:bookmarkEnd w:id="1"/>
      <w:r w:rsidR="00B37622" w:rsidRPr="00681CFB">
        <w:rPr>
          <w:rFonts w:ascii="DINPro" w:hAnsi="DINPro" w:cs="DINPro"/>
        </w:rPr>
        <w:t>.</w:t>
      </w:r>
      <w:r w:rsidRPr="00681CFB">
        <w:rPr>
          <w:rFonts w:ascii="DINPro" w:hAnsi="DINPro" w:cs="DINPro"/>
        </w:rPr>
        <w:t xml:space="preserve">  </w:t>
      </w:r>
    </w:p>
    <w:p w14:paraId="01014A2E" w14:textId="77777777" w:rsidR="00E4301C" w:rsidRPr="00681CFB" w:rsidRDefault="00E4301C" w:rsidP="00E13FA6">
      <w:pPr>
        <w:autoSpaceDE w:val="0"/>
        <w:autoSpaceDN w:val="0"/>
        <w:adjustRightInd w:val="0"/>
        <w:spacing w:after="0" w:line="240" w:lineRule="auto"/>
        <w:rPr>
          <w:rFonts w:ascii="DINPro" w:hAnsi="DINPro" w:cs="DINPro"/>
          <w:color w:val="000000"/>
        </w:rPr>
      </w:pPr>
    </w:p>
    <w:p w14:paraId="29877099" w14:textId="08456680" w:rsidR="00655A81" w:rsidRPr="00681CFB" w:rsidRDefault="00B37622" w:rsidP="00C07A69">
      <w:pPr>
        <w:autoSpaceDE w:val="0"/>
        <w:autoSpaceDN w:val="0"/>
        <w:adjustRightInd w:val="0"/>
        <w:spacing w:after="0" w:line="240" w:lineRule="auto"/>
        <w:rPr>
          <w:rFonts w:ascii="DINPro" w:hAnsi="DINPro" w:cs="DINPro"/>
        </w:rPr>
      </w:pPr>
      <w:r w:rsidRPr="00681CFB">
        <w:rPr>
          <w:rFonts w:ascii="DINPro" w:hAnsi="DINPro" w:cs="DINPro"/>
        </w:rPr>
        <w:t>Pour les demandes allant jusqu’à 20 000 $, le processus est le suivant :</w:t>
      </w:r>
    </w:p>
    <w:p w14:paraId="4BF765AA" w14:textId="34A1E35C" w:rsidR="00655A81" w:rsidRPr="00681CFB" w:rsidRDefault="00B37622" w:rsidP="00C07A69">
      <w:pPr>
        <w:pStyle w:val="Paragraphedeliste"/>
        <w:numPr>
          <w:ilvl w:val="0"/>
          <w:numId w:val="26"/>
        </w:numPr>
        <w:autoSpaceDE w:val="0"/>
        <w:autoSpaceDN w:val="0"/>
        <w:adjustRightInd w:val="0"/>
        <w:spacing w:after="0" w:line="240" w:lineRule="auto"/>
        <w:rPr>
          <w:rFonts w:ascii="DINPro" w:hAnsi="DINPro" w:cs="DINPro"/>
        </w:rPr>
      </w:pPr>
      <w:r w:rsidRPr="00681CFB">
        <w:rPr>
          <w:rFonts w:ascii="DINPro" w:hAnsi="DINPro" w:cs="DINPro"/>
        </w:rPr>
        <w:t xml:space="preserve">Le portail </w:t>
      </w:r>
      <w:r w:rsidR="00655A81" w:rsidRPr="00681CFB">
        <w:rPr>
          <w:rFonts w:ascii="DINPro" w:hAnsi="DINPro" w:cs="DINPro"/>
          <w:color w:val="2F5496" w:themeColor="accent5" w:themeShade="BF"/>
          <w:u w:val="single"/>
        </w:rPr>
        <w:t>Grant</w:t>
      </w:r>
      <w:r w:rsidR="00780E32" w:rsidRPr="00681CFB">
        <w:rPr>
          <w:rFonts w:ascii="DINPro" w:hAnsi="DINPro" w:cs="DINPro"/>
          <w:color w:val="2F5496" w:themeColor="accent5" w:themeShade="BF"/>
          <w:u w:val="single"/>
        </w:rPr>
        <w:t xml:space="preserve"> </w:t>
      </w:r>
      <w:r w:rsidR="00655A81" w:rsidRPr="00681CFB">
        <w:rPr>
          <w:rFonts w:ascii="DINPro" w:hAnsi="DINPro" w:cs="DINPro"/>
          <w:color w:val="2F5496" w:themeColor="accent5" w:themeShade="BF"/>
          <w:u w:val="single"/>
        </w:rPr>
        <w:t>Source</w:t>
      </w:r>
      <w:r w:rsidR="00655A81" w:rsidRPr="00681CFB">
        <w:rPr>
          <w:rFonts w:ascii="DINPro" w:hAnsi="DINPro" w:cs="DINPro"/>
          <w:color w:val="2F5496" w:themeColor="accent5" w:themeShade="BF"/>
        </w:rPr>
        <w:t xml:space="preserve"> </w:t>
      </w:r>
      <w:r w:rsidRPr="00681CFB">
        <w:rPr>
          <w:rFonts w:ascii="DINPro" w:hAnsi="DINPro" w:cs="DINPro"/>
        </w:rPr>
        <w:t>ouvre le 4 janvier ou le 1</w:t>
      </w:r>
      <w:r w:rsidRPr="00681CFB">
        <w:rPr>
          <w:rFonts w:ascii="DINPro" w:hAnsi="DINPro" w:cs="DINPro"/>
          <w:vertAlign w:val="superscript"/>
        </w:rPr>
        <w:t>er</w:t>
      </w:r>
      <w:r w:rsidRPr="00681CFB">
        <w:rPr>
          <w:rFonts w:ascii="DINPro" w:hAnsi="DINPro" w:cs="DINPro"/>
        </w:rPr>
        <w:t xml:space="preserve"> juin. </w:t>
      </w:r>
    </w:p>
    <w:p w14:paraId="6D04060E" w14:textId="160108F7" w:rsidR="00C07A69" w:rsidRPr="00681CFB" w:rsidRDefault="00B37622" w:rsidP="00655A81">
      <w:pPr>
        <w:pStyle w:val="Paragraphedeliste"/>
        <w:numPr>
          <w:ilvl w:val="0"/>
          <w:numId w:val="26"/>
        </w:numPr>
        <w:autoSpaceDE w:val="0"/>
        <w:autoSpaceDN w:val="0"/>
        <w:adjustRightInd w:val="0"/>
        <w:spacing w:after="0" w:line="240" w:lineRule="auto"/>
        <w:rPr>
          <w:rFonts w:ascii="DINPro" w:hAnsi="DINPro" w:cs="DINPro"/>
        </w:rPr>
      </w:pPr>
      <w:r w:rsidRPr="00681CFB">
        <w:rPr>
          <w:rFonts w:ascii="DINPro" w:hAnsi="DINPro" w:cs="DINPro"/>
        </w:rPr>
        <w:t xml:space="preserve">Les demandes sont soumises à l’aide de la plateforme en ligne </w:t>
      </w:r>
      <w:hyperlink r:id="rId12" w:history="1">
        <w:proofErr w:type="spellStart"/>
        <w:r w:rsidR="00655A81" w:rsidRPr="00681CFB">
          <w:rPr>
            <w:rStyle w:val="Lienhypertexte"/>
            <w:rFonts w:ascii="DINPro" w:hAnsi="DINPro" w:cs="DINPro"/>
          </w:rPr>
          <w:t>GrantSource</w:t>
        </w:r>
        <w:proofErr w:type="spellEnd"/>
      </w:hyperlink>
      <w:r w:rsidR="00655A81" w:rsidRPr="00681CFB">
        <w:rPr>
          <w:rFonts w:ascii="DINPro" w:hAnsi="DINPro" w:cs="DINPro"/>
        </w:rPr>
        <w:t xml:space="preserve"> </w:t>
      </w:r>
      <w:r w:rsidRPr="00681CFB">
        <w:rPr>
          <w:rFonts w:ascii="DINPro" w:hAnsi="DINPro" w:cs="DINPro"/>
        </w:rPr>
        <w:t>avant la date-limite du 18 janvier ou du 19 juillet</w:t>
      </w:r>
      <w:r w:rsidR="00655A81" w:rsidRPr="00681CFB">
        <w:rPr>
          <w:rFonts w:ascii="DINPro" w:hAnsi="DINPro" w:cs="DINPro"/>
        </w:rPr>
        <w:t xml:space="preserve">. </w:t>
      </w:r>
    </w:p>
    <w:p w14:paraId="4E6940C5" w14:textId="3FE38B31" w:rsidR="00C07A69" w:rsidRPr="00681CFB" w:rsidRDefault="00B37622" w:rsidP="00C07A69">
      <w:pPr>
        <w:pStyle w:val="Paragraphedeliste"/>
        <w:numPr>
          <w:ilvl w:val="0"/>
          <w:numId w:val="26"/>
        </w:numPr>
        <w:autoSpaceDE w:val="0"/>
        <w:autoSpaceDN w:val="0"/>
        <w:adjustRightInd w:val="0"/>
        <w:spacing w:after="0" w:line="240" w:lineRule="auto"/>
        <w:rPr>
          <w:rFonts w:ascii="DINPro" w:hAnsi="DINPro" w:cs="DINPro"/>
        </w:rPr>
      </w:pPr>
      <w:r w:rsidRPr="00681CFB">
        <w:rPr>
          <w:rFonts w:ascii="DINPro" w:hAnsi="DINPro" w:cs="DINPro"/>
        </w:rPr>
        <w:t xml:space="preserve">Le Comité des subventions locales du Fonds </w:t>
      </w:r>
      <w:r w:rsidR="00C07A69" w:rsidRPr="00681CFB">
        <w:rPr>
          <w:rFonts w:ascii="DINPro" w:hAnsi="DINPro" w:cs="DINPro"/>
        </w:rPr>
        <w:t xml:space="preserve">Neil </w:t>
      </w:r>
      <w:r w:rsidRPr="00681CFB">
        <w:rPr>
          <w:rFonts w:ascii="DINPro" w:hAnsi="DINPro" w:cs="DINPro"/>
        </w:rPr>
        <w:t>et</w:t>
      </w:r>
      <w:r w:rsidR="00C07A69" w:rsidRPr="00681CFB">
        <w:rPr>
          <w:rFonts w:ascii="DINPro" w:hAnsi="DINPro" w:cs="DINPro"/>
        </w:rPr>
        <w:t xml:space="preserve"> Louise Tillotson </w:t>
      </w:r>
      <w:r w:rsidRPr="00681CFB">
        <w:rPr>
          <w:rFonts w:ascii="DINPro" w:hAnsi="DINPro" w:cs="DINPro"/>
        </w:rPr>
        <w:t>approuve ou refuse les demandes sur la base du Cadre de développement de la communauté et les critères du Fonds.</w:t>
      </w:r>
    </w:p>
    <w:p w14:paraId="36E69ECF" w14:textId="3FEAE397" w:rsidR="00C07A69" w:rsidRPr="00681CFB" w:rsidRDefault="00B37622" w:rsidP="00C07A69">
      <w:pPr>
        <w:pStyle w:val="Paragraphedeliste"/>
        <w:numPr>
          <w:ilvl w:val="0"/>
          <w:numId w:val="26"/>
        </w:numPr>
        <w:autoSpaceDE w:val="0"/>
        <w:autoSpaceDN w:val="0"/>
        <w:adjustRightInd w:val="0"/>
        <w:spacing w:after="0" w:line="240" w:lineRule="auto"/>
        <w:rPr>
          <w:rFonts w:ascii="DINPro" w:hAnsi="DINPro" w:cs="DINPro"/>
        </w:rPr>
      </w:pPr>
      <w:r w:rsidRPr="00681CFB">
        <w:rPr>
          <w:rFonts w:ascii="DINPro" w:hAnsi="DINPro" w:cs="DINPro"/>
        </w:rPr>
        <w:t xml:space="preserve">Le Comité consultatif du Fonds </w:t>
      </w:r>
      <w:r w:rsidR="00C07A69" w:rsidRPr="00681CFB">
        <w:rPr>
          <w:rFonts w:ascii="DINPro" w:hAnsi="DINPro" w:cs="DINPro"/>
        </w:rPr>
        <w:t xml:space="preserve">Neil </w:t>
      </w:r>
      <w:r w:rsidR="00AE404B">
        <w:rPr>
          <w:rFonts w:ascii="DINPro" w:hAnsi="DINPro" w:cs="DINPro"/>
        </w:rPr>
        <w:t xml:space="preserve">et </w:t>
      </w:r>
      <w:r w:rsidR="00C07A69" w:rsidRPr="00681CFB">
        <w:rPr>
          <w:rFonts w:ascii="DINPro" w:hAnsi="DINPro" w:cs="DINPro"/>
        </w:rPr>
        <w:t xml:space="preserve">Louise Tillotson </w:t>
      </w:r>
      <w:r w:rsidRPr="00681CFB">
        <w:rPr>
          <w:rFonts w:ascii="DINPro" w:hAnsi="DINPro" w:cs="DINPro"/>
        </w:rPr>
        <w:t xml:space="preserve">approuve les recommandations de subventions </w:t>
      </w:r>
      <w:r w:rsidR="00681CFB" w:rsidRPr="00681CFB">
        <w:rPr>
          <w:rFonts w:ascii="DINPro" w:hAnsi="DINPro" w:cs="DINPro"/>
        </w:rPr>
        <w:t xml:space="preserve">lors </w:t>
      </w:r>
      <w:r w:rsidRPr="00681CFB">
        <w:rPr>
          <w:rFonts w:ascii="DINPro" w:hAnsi="DINPro" w:cs="DINPro"/>
        </w:rPr>
        <w:t>de ses réunions régulières à la mi-mars ou septembre</w:t>
      </w:r>
      <w:r w:rsidR="00655A81" w:rsidRPr="00681CFB">
        <w:rPr>
          <w:rFonts w:ascii="DINPro" w:hAnsi="DINPro" w:cs="DINPro"/>
        </w:rPr>
        <w:t>.</w:t>
      </w:r>
    </w:p>
    <w:p w14:paraId="48672B7D" w14:textId="529ABAE6" w:rsidR="00655A81" w:rsidRPr="00681CFB" w:rsidRDefault="00B37622" w:rsidP="00655A81">
      <w:pPr>
        <w:pStyle w:val="Paragraphedeliste"/>
        <w:numPr>
          <w:ilvl w:val="0"/>
          <w:numId w:val="26"/>
        </w:numPr>
        <w:autoSpaceDE w:val="0"/>
        <w:autoSpaceDN w:val="0"/>
        <w:adjustRightInd w:val="0"/>
        <w:spacing w:after="0" w:line="240" w:lineRule="auto"/>
        <w:rPr>
          <w:rFonts w:ascii="DINPro" w:hAnsi="DINPro" w:cs="DINPro"/>
        </w:rPr>
      </w:pPr>
      <w:bookmarkStart w:id="2" w:name="_Hlk120621993"/>
      <w:r w:rsidRPr="00681CFB">
        <w:rPr>
          <w:rFonts w:ascii="DINPro" w:hAnsi="DINPro" w:cs="DINPro"/>
        </w:rPr>
        <w:t>Le</w:t>
      </w:r>
      <w:r w:rsidR="00681CFB" w:rsidRPr="00681CFB">
        <w:rPr>
          <w:rFonts w:ascii="DINPro" w:hAnsi="DINPro" w:cs="DINPro"/>
        </w:rPr>
        <w:t>s</w:t>
      </w:r>
      <w:r w:rsidRPr="00681CFB">
        <w:rPr>
          <w:rFonts w:ascii="DINPro" w:hAnsi="DINPro" w:cs="DINPro"/>
        </w:rPr>
        <w:t xml:space="preserve"> demandeurs sont informés des décisions pas plus tard que la fin de mars ou de septembre</w:t>
      </w:r>
      <w:bookmarkEnd w:id="2"/>
      <w:r w:rsidR="00C07A69" w:rsidRPr="00681CFB">
        <w:rPr>
          <w:rFonts w:ascii="DINPro" w:hAnsi="DINPro" w:cs="DINPro"/>
        </w:rPr>
        <w:t>.</w:t>
      </w:r>
    </w:p>
    <w:p w14:paraId="38FC2E68" w14:textId="77777777" w:rsidR="008D405C" w:rsidRPr="00681CFB" w:rsidRDefault="008D405C" w:rsidP="008D405C">
      <w:pPr>
        <w:pStyle w:val="Paragraphedeliste"/>
        <w:autoSpaceDE w:val="0"/>
        <w:autoSpaceDN w:val="0"/>
        <w:adjustRightInd w:val="0"/>
        <w:spacing w:after="0" w:line="240" w:lineRule="auto"/>
        <w:rPr>
          <w:rFonts w:ascii="DINPro" w:hAnsi="DINPro" w:cs="DINPro"/>
        </w:rPr>
      </w:pPr>
    </w:p>
    <w:p w14:paraId="3D8D1702" w14:textId="7E167C57" w:rsidR="00E13FA6" w:rsidRPr="00681CFB" w:rsidRDefault="00B37622" w:rsidP="00853983">
      <w:pPr>
        <w:autoSpaceDE w:val="0"/>
        <w:autoSpaceDN w:val="0"/>
        <w:adjustRightInd w:val="0"/>
        <w:spacing w:after="0" w:line="240" w:lineRule="auto"/>
        <w:rPr>
          <w:rFonts w:ascii="DINPro" w:hAnsi="DINPro" w:cs="DINPro"/>
        </w:rPr>
      </w:pPr>
      <w:r w:rsidRPr="00681CFB">
        <w:rPr>
          <w:rFonts w:ascii="DINPro" w:hAnsi="DINPro" w:cs="DINPro"/>
          <w:b/>
          <w:color w:val="000000"/>
        </w:rPr>
        <w:t>Programme des subventions majeures</w:t>
      </w:r>
      <w:r w:rsidR="00AE0B22" w:rsidRPr="00681CFB">
        <w:rPr>
          <w:rFonts w:ascii="DINPro" w:hAnsi="DINPro" w:cs="DINPro"/>
          <w:b/>
          <w:color w:val="000000"/>
        </w:rPr>
        <w:t xml:space="preserve"> (</w:t>
      </w:r>
      <w:r w:rsidRPr="00681CFB">
        <w:rPr>
          <w:rFonts w:ascii="DINPro" w:hAnsi="DINPro" w:cs="DINPro"/>
          <w:b/>
          <w:color w:val="000000"/>
        </w:rPr>
        <w:t>demandes entre 20 001 $ et 300 000 $)</w:t>
      </w:r>
    </w:p>
    <w:p w14:paraId="68B88FA6" w14:textId="1F836402" w:rsidR="00A22352" w:rsidRPr="00681CFB" w:rsidRDefault="00B37622" w:rsidP="00941B4D">
      <w:pPr>
        <w:spacing w:after="0"/>
        <w:rPr>
          <w:rFonts w:ascii="DINPro" w:hAnsi="DINPro" w:cs="DINPro"/>
        </w:rPr>
      </w:pPr>
      <w:r w:rsidRPr="00681CFB">
        <w:rPr>
          <w:rFonts w:ascii="DINPro" w:hAnsi="DINPro" w:cs="DINPro"/>
        </w:rPr>
        <w:t>Toutes les demandes doivent être soumises au moyen de notre portail de subventions en ligne</w:t>
      </w:r>
      <w:r w:rsidR="00A22352" w:rsidRPr="00681CFB">
        <w:rPr>
          <w:rFonts w:ascii="DINPro" w:hAnsi="DINPro" w:cs="DINPro"/>
        </w:rPr>
        <w:t xml:space="preserve"> </w:t>
      </w:r>
      <w:hyperlink r:id="rId13" w:history="1">
        <w:proofErr w:type="spellStart"/>
        <w:r w:rsidR="00A22352" w:rsidRPr="00681CFB">
          <w:rPr>
            <w:rStyle w:val="Lienhypertexte"/>
            <w:rFonts w:ascii="DINPro" w:hAnsi="DINPro" w:cs="DINPro"/>
          </w:rPr>
          <w:t>GrantSource</w:t>
        </w:r>
        <w:proofErr w:type="spellEnd"/>
      </w:hyperlink>
      <w:r w:rsidR="00A22352" w:rsidRPr="00681CFB">
        <w:rPr>
          <w:rFonts w:ascii="DINPro" w:hAnsi="DINPro" w:cs="DINPro"/>
        </w:rPr>
        <w:t xml:space="preserve">.  </w:t>
      </w:r>
      <w:r w:rsidRPr="00681CFB">
        <w:rPr>
          <w:rFonts w:ascii="DINPro" w:hAnsi="DINPro" w:cs="DINPro"/>
        </w:rPr>
        <w:t>Répondre aux quatre questions suivantes, plus un budget.</w:t>
      </w:r>
      <w:r w:rsidR="00A22352" w:rsidRPr="00681CFB">
        <w:rPr>
          <w:rFonts w:ascii="DINPro" w:hAnsi="DINPro" w:cs="DINPro"/>
        </w:rPr>
        <w:t xml:space="preserve"> </w:t>
      </w:r>
      <w:r w:rsidRPr="00681CFB">
        <w:rPr>
          <w:rFonts w:ascii="DINPro" w:hAnsi="DINPro" w:cs="DINPro"/>
        </w:rPr>
        <w:t>Il n’y a pas de nombre limite de mots.</w:t>
      </w:r>
      <w:r w:rsidR="00A22352" w:rsidRPr="00681CFB">
        <w:rPr>
          <w:rFonts w:ascii="DINPro" w:hAnsi="DINPro" w:cs="DINPro"/>
        </w:rPr>
        <w:t xml:space="preserve">  </w:t>
      </w:r>
    </w:p>
    <w:p w14:paraId="30F2F25D" w14:textId="77777777" w:rsidR="00B37622" w:rsidRPr="00681CFB" w:rsidRDefault="00B37622" w:rsidP="00B37622">
      <w:pPr>
        <w:pStyle w:val="Paragraphedeliste"/>
        <w:numPr>
          <w:ilvl w:val="0"/>
          <w:numId w:val="17"/>
        </w:numPr>
        <w:spacing w:after="0" w:line="240" w:lineRule="auto"/>
        <w:rPr>
          <w:rFonts w:ascii="DINPro" w:eastAsia="Times New Roman" w:hAnsi="DINPro" w:cs="DINPro"/>
        </w:rPr>
      </w:pPr>
      <w:r w:rsidRPr="00681CFB">
        <w:rPr>
          <w:rFonts w:ascii="DINPro" w:eastAsia="Times New Roman" w:hAnsi="DINPro" w:cs="DINPro"/>
          <w:b/>
          <w:bCs/>
        </w:rPr>
        <w:t xml:space="preserve">Énoncé de mission/objectif : </w:t>
      </w:r>
      <w:r w:rsidRPr="00681CFB">
        <w:rPr>
          <w:rFonts w:ascii="DINPro" w:eastAsia="Times New Roman" w:hAnsi="DINPro" w:cs="DINPro"/>
        </w:rPr>
        <w:t>Veuillez énoncer brièvement en une ou deux phrases la mission / l’objectif de votre organisation.</w:t>
      </w:r>
    </w:p>
    <w:p w14:paraId="7348A011" w14:textId="77777777" w:rsidR="00B37622" w:rsidRPr="00681CFB" w:rsidRDefault="00B37622" w:rsidP="00B37622">
      <w:pPr>
        <w:pStyle w:val="Paragraphedeliste"/>
        <w:numPr>
          <w:ilvl w:val="0"/>
          <w:numId w:val="17"/>
        </w:numPr>
        <w:spacing w:after="0" w:line="240" w:lineRule="auto"/>
        <w:rPr>
          <w:rFonts w:ascii="DINPro" w:eastAsia="Times New Roman" w:hAnsi="DINPro" w:cs="DINPro"/>
          <w:b/>
          <w:bCs/>
        </w:rPr>
      </w:pPr>
      <w:r w:rsidRPr="00681CFB">
        <w:rPr>
          <w:rFonts w:ascii="DINPro" w:eastAsia="Times New Roman" w:hAnsi="DINPro" w:cs="DINPro"/>
          <w:b/>
          <w:bCs/>
        </w:rPr>
        <w:t xml:space="preserve">Impact organisationnel : </w:t>
      </w:r>
      <w:r w:rsidRPr="00681CFB">
        <w:rPr>
          <w:rFonts w:ascii="DINPro" w:eastAsia="Times New Roman" w:hAnsi="DINPro" w:cs="DINPro"/>
        </w:rPr>
        <w:t>Quel a été l’impact de votre organisation sur sa communauté ou ses constituants au cours des dernières années?</w:t>
      </w:r>
      <w:r w:rsidRPr="00681CFB">
        <w:rPr>
          <w:rFonts w:ascii="DINPro" w:eastAsia="Times New Roman" w:hAnsi="DINPro" w:cs="DINPro"/>
          <w:b/>
          <w:bCs/>
        </w:rPr>
        <w:t xml:space="preserve"> </w:t>
      </w:r>
    </w:p>
    <w:p w14:paraId="4431948D" w14:textId="77777777" w:rsidR="00B37622" w:rsidRPr="00681CFB" w:rsidRDefault="00B37622" w:rsidP="00B37622">
      <w:pPr>
        <w:pStyle w:val="Paragraphedeliste"/>
        <w:numPr>
          <w:ilvl w:val="0"/>
          <w:numId w:val="17"/>
        </w:numPr>
        <w:spacing w:after="0" w:line="240" w:lineRule="auto"/>
        <w:rPr>
          <w:rFonts w:ascii="DINPro" w:eastAsia="Times New Roman" w:hAnsi="DINPro" w:cs="DINPro"/>
          <w:b/>
          <w:bCs/>
        </w:rPr>
      </w:pPr>
      <w:r w:rsidRPr="00681CFB">
        <w:rPr>
          <w:rFonts w:ascii="DINPro" w:eastAsia="Times New Roman" w:hAnsi="DINPro" w:cs="DINPro"/>
          <w:b/>
          <w:bCs/>
        </w:rPr>
        <w:t>Description (choisir l’un ou l’autre, le personnel de Tillotson peut vous aider à prendre une décision) :</w:t>
      </w:r>
    </w:p>
    <w:p w14:paraId="3D1CC01C" w14:textId="77777777" w:rsidR="00B37622" w:rsidRPr="00681CFB" w:rsidRDefault="00B37622" w:rsidP="00780E32">
      <w:pPr>
        <w:spacing w:after="0" w:line="240" w:lineRule="auto"/>
        <w:ind w:left="720"/>
        <w:rPr>
          <w:rFonts w:ascii="DINPro" w:eastAsia="Times New Roman" w:hAnsi="DINPro" w:cs="DINPro"/>
        </w:rPr>
      </w:pPr>
      <w:r w:rsidRPr="00681CFB">
        <w:rPr>
          <w:rFonts w:ascii="DINPro" w:eastAsia="Times New Roman" w:hAnsi="DINPro" w:cs="DINPro"/>
        </w:rPr>
        <w:t>POUR UN SOUTIEN AU FONCTIONNEMENT : Comment la subvention aidera-t-elle votre organisation à développer sa capacité organisationnelle et à faire progresser vos objectifs et vos stratégies?</w:t>
      </w:r>
    </w:p>
    <w:p w14:paraId="1302D8AD" w14:textId="77777777" w:rsidR="00B37622" w:rsidRPr="00681CFB" w:rsidRDefault="00B37622" w:rsidP="00780E32">
      <w:pPr>
        <w:spacing w:after="0" w:line="240" w:lineRule="auto"/>
        <w:ind w:left="720"/>
        <w:rPr>
          <w:rFonts w:ascii="DINPro" w:eastAsia="Times New Roman" w:hAnsi="DINPro" w:cs="DINPro"/>
          <w:b/>
          <w:bCs/>
        </w:rPr>
      </w:pPr>
      <w:r w:rsidRPr="00681CFB">
        <w:rPr>
          <w:rFonts w:ascii="DINPro" w:eastAsia="Times New Roman" w:hAnsi="DINPro" w:cs="DINPro"/>
        </w:rPr>
        <w:t>POUR UN SOUTIEN BASÉ SUR UN PROJET : Veuillez décrire votre projet incluant un exposé descriptif, les résultats escomptés, les partenaires communautaires qui pourraient être impliqués et toute autre information qui pourrait être utile</w:t>
      </w:r>
      <w:r w:rsidRPr="00681CFB">
        <w:rPr>
          <w:rFonts w:ascii="DINPro" w:eastAsia="Times New Roman" w:hAnsi="DINPro" w:cs="DINPro"/>
          <w:b/>
          <w:bCs/>
        </w:rPr>
        <w:t>.</w:t>
      </w:r>
    </w:p>
    <w:p w14:paraId="6F3F2AE7" w14:textId="32D937F0" w:rsidR="00B37622" w:rsidRPr="00681CFB" w:rsidRDefault="00B37622" w:rsidP="00B37622">
      <w:pPr>
        <w:pStyle w:val="Paragraphedeliste"/>
        <w:numPr>
          <w:ilvl w:val="0"/>
          <w:numId w:val="17"/>
        </w:numPr>
        <w:spacing w:after="0" w:line="240" w:lineRule="auto"/>
        <w:rPr>
          <w:rFonts w:ascii="DINPro" w:eastAsia="Times New Roman" w:hAnsi="DINPro" w:cs="DINPro"/>
          <w:b/>
          <w:bCs/>
        </w:rPr>
      </w:pPr>
      <w:r w:rsidRPr="00681CFB">
        <w:rPr>
          <w:rFonts w:ascii="DINPro" w:eastAsia="Times New Roman" w:hAnsi="DINPro" w:cs="DINPro"/>
          <w:b/>
          <w:bCs/>
        </w:rPr>
        <w:t>Information additionnelle :</w:t>
      </w:r>
      <w:r w:rsidRPr="00AE404B">
        <w:rPr>
          <w:rFonts w:ascii="DINPro" w:eastAsia="Times New Roman" w:hAnsi="DINPro" w:cs="DINPro"/>
        </w:rPr>
        <w:t xml:space="preserve"> Y a-t-il quelque chose d’autre dont vous aimeriez nous faire part</w:t>
      </w:r>
      <w:r w:rsidR="00AE404B">
        <w:rPr>
          <w:rFonts w:ascii="DINPro" w:eastAsia="Times New Roman" w:hAnsi="DINPro" w:cs="DINPro"/>
        </w:rPr>
        <w:t>?</w:t>
      </w:r>
    </w:p>
    <w:p w14:paraId="02118AD9" w14:textId="5E9A97B1" w:rsidR="00A22352" w:rsidRPr="00681CFB" w:rsidRDefault="00A22352" w:rsidP="00A22352">
      <w:pPr>
        <w:pStyle w:val="Paragraphedeliste"/>
        <w:numPr>
          <w:ilvl w:val="0"/>
          <w:numId w:val="17"/>
        </w:numPr>
        <w:spacing w:after="0" w:line="240" w:lineRule="auto"/>
        <w:rPr>
          <w:rFonts w:ascii="DINPro" w:hAnsi="DINPro" w:cs="DINPro"/>
        </w:rPr>
      </w:pPr>
      <w:r w:rsidRPr="00681CFB">
        <w:rPr>
          <w:rFonts w:ascii="DINPro" w:hAnsi="DINPro" w:cs="DINPro"/>
          <w:b/>
        </w:rPr>
        <w:t>Budget:</w:t>
      </w:r>
      <w:r w:rsidRPr="00681CFB">
        <w:rPr>
          <w:rFonts w:ascii="DINPro" w:hAnsi="DINPro" w:cs="DINPro"/>
        </w:rPr>
        <w:t xml:space="preserve"> </w:t>
      </w:r>
      <w:r w:rsidR="00780E32" w:rsidRPr="00681CFB">
        <w:rPr>
          <w:rFonts w:ascii="DINPro" w:hAnsi="DINPro" w:cs="DINPro"/>
        </w:rPr>
        <w:t>Pour les demandes basées sur un projet, veuillez télécharger le budget de votre projet. Pour les demandes de soutien au fonctionnement, les budgets de fonctionnement disponibles sur le profil de l’organisation seront examinés</w:t>
      </w:r>
      <w:r w:rsidR="00780E32" w:rsidRPr="00681CFB">
        <w:rPr>
          <w:rFonts w:ascii="DINPro" w:hAnsi="DINPro" w:cs="DINPro"/>
        </w:rPr>
        <w:t xml:space="preserve"> </w:t>
      </w:r>
    </w:p>
    <w:p w14:paraId="76085A9B" w14:textId="77777777" w:rsidR="00E13FA6" w:rsidRPr="00681CFB" w:rsidRDefault="00E13FA6" w:rsidP="00E13FA6">
      <w:pPr>
        <w:autoSpaceDE w:val="0"/>
        <w:autoSpaceDN w:val="0"/>
        <w:adjustRightInd w:val="0"/>
        <w:spacing w:after="0" w:line="240" w:lineRule="auto"/>
        <w:rPr>
          <w:rFonts w:ascii="DINPro" w:hAnsi="DINPro" w:cs="DINPro"/>
        </w:rPr>
      </w:pPr>
    </w:p>
    <w:p w14:paraId="3988D9DB" w14:textId="443EFD6C" w:rsidR="00E13FA6" w:rsidRPr="00681CFB" w:rsidRDefault="00780E32" w:rsidP="00E13FA6">
      <w:pPr>
        <w:autoSpaceDE w:val="0"/>
        <w:autoSpaceDN w:val="0"/>
        <w:adjustRightInd w:val="0"/>
        <w:spacing w:after="0" w:line="240" w:lineRule="auto"/>
        <w:rPr>
          <w:rFonts w:ascii="DINPro" w:hAnsi="DINPro" w:cs="DINPro"/>
        </w:rPr>
      </w:pPr>
      <w:r w:rsidRPr="00681CFB">
        <w:rPr>
          <w:rFonts w:ascii="DINPro" w:hAnsi="DINPro" w:cs="DINPro"/>
        </w:rPr>
        <w:t xml:space="preserve">Pour les demandes de 20 001 $ jusqu’à 300 000 $ (100 000 $ par année), le processus est le suivant </w:t>
      </w:r>
      <w:r w:rsidR="00E13FA6" w:rsidRPr="00681CFB">
        <w:rPr>
          <w:rFonts w:ascii="DINPro" w:hAnsi="DINPro" w:cs="DINPro"/>
        </w:rPr>
        <w:t>:</w:t>
      </w:r>
    </w:p>
    <w:p w14:paraId="521A868A" w14:textId="7DEEFF96" w:rsidR="00D402E8" w:rsidRPr="00681CFB" w:rsidRDefault="00780E32" w:rsidP="00D402E8">
      <w:pPr>
        <w:pStyle w:val="Paragraphedeliste"/>
        <w:numPr>
          <w:ilvl w:val="0"/>
          <w:numId w:val="30"/>
        </w:numPr>
        <w:autoSpaceDE w:val="0"/>
        <w:autoSpaceDN w:val="0"/>
        <w:adjustRightInd w:val="0"/>
        <w:spacing w:after="0" w:line="240" w:lineRule="auto"/>
        <w:rPr>
          <w:rFonts w:ascii="DINPro" w:hAnsi="DINPro" w:cs="DINPro"/>
        </w:rPr>
      </w:pPr>
      <w:r w:rsidRPr="00681CFB">
        <w:t xml:space="preserve">Le portail </w:t>
      </w:r>
      <w:hyperlink r:id="rId14" w:history="1">
        <w:r w:rsidR="00D402E8" w:rsidRPr="00681CFB">
          <w:rPr>
            <w:rStyle w:val="Lienhypertexte"/>
            <w:rFonts w:ascii="DINPro" w:hAnsi="DINPro" w:cs="DINPro"/>
          </w:rPr>
          <w:t>Grant Source</w:t>
        </w:r>
      </w:hyperlink>
      <w:r w:rsidR="00D402E8" w:rsidRPr="00681CFB">
        <w:rPr>
          <w:rFonts w:ascii="DINPro" w:hAnsi="DINPro" w:cs="DINPro"/>
        </w:rPr>
        <w:t xml:space="preserve"> </w:t>
      </w:r>
      <w:r w:rsidRPr="00681CFB">
        <w:rPr>
          <w:rFonts w:ascii="DINPro" w:hAnsi="DINPro" w:cs="DINPro"/>
        </w:rPr>
        <w:t>ouvre le 4 janvier</w:t>
      </w:r>
      <w:r w:rsidR="00D402E8" w:rsidRPr="00681CFB">
        <w:rPr>
          <w:rFonts w:ascii="DINPro" w:hAnsi="DINPro" w:cs="DINPro"/>
        </w:rPr>
        <w:t>.</w:t>
      </w:r>
    </w:p>
    <w:p w14:paraId="5EA8501F" w14:textId="45478664" w:rsidR="00D402E8" w:rsidRPr="00681CFB" w:rsidRDefault="00780E32" w:rsidP="00D402E8">
      <w:pPr>
        <w:pStyle w:val="Paragraphedeliste"/>
        <w:numPr>
          <w:ilvl w:val="0"/>
          <w:numId w:val="30"/>
        </w:numPr>
        <w:autoSpaceDE w:val="0"/>
        <w:autoSpaceDN w:val="0"/>
        <w:adjustRightInd w:val="0"/>
        <w:spacing w:after="0" w:line="240" w:lineRule="auto"/>
        <w:rPr>
          <w:rFonts w:ascii="DINPro" w:hAnsi="DINPro" w:cs="DINPro"/>
        </w:rPr>
      </w:pPr>
      <w:r w:rsidRPr="00681CFB">
        <w:rPr>
          <w:rFonts w:ascii="DINPro" w:hAnsi="DINPro" w:cs="DINPro"/>
        </w:rPr>
        <w:t xml:space="preserve">Les demandeurs fixent une conversation avec le personnel du Fonds Tillotson pour discuter de leur idée de projet. Pour fixer une rencontre par Zoom avec Jean Clarke, cliquez </w:t>
      </w:r>
      <w:hyperlink r:id="rId15" w:history="1">
        <w:r w:rsidRPr="00681CFB">
          <w:rPr>
            <w:rStyle w:val="Lienhypertexte"/>
            <w:rFonts w:ascii="DINPro" w:hAnsi="DINPro" w:cs="DINPro"/>
          </w:rPr>
          <w:t>ici</w:t>
        </w:r>
      </w:hyperlink>
      <w:r w:rsidR="007F4D06" w:rsidRPr="00681CFB">
        <w:rPr>
          <w:rFonts w:ascii="DINPro" w:hAnsi="DINPro" w:cs="DINPro"/>
        </w:rPr>
        <w:t>.</w:t>
      </w:r>
    </w:p>
    <w:p w14:paraId="7A1695FE" w14:textId="3E31DD8A" w:rsidR="00D402E8" w:rsidRPr="00681CFB" w:rsidRDefault="004C5FFC" w:rsidP="00D402E8">
      <w:pPr>
        <w:pStyle w:val="Paragraphedeliste"/>
        <w:numPr>
          <w:ilvl w:val="0"/>
          <w:numId w:val="30"/>
        </w:numPr>
        <w:autoSpaceDE w:val="0"/>
        <w:autoSpaceDN w:val="0"/>
        <w:adjustRightInd w:val="0"/>
        <w:spacing w:after="0" w:line="240" w:lineRule="auto"/>
        <w:rPr>
          <w:rFonts w:ascii="DINPro" w:hAnsi="DINPro" w:cs="DINPro"/>
        </w:rPr>
      </w:pPr>
      <w:r w:rsidRPr="00681CFB">
        <w:rPr>
          <w:rFonts w:ascii="DINPro" w:hAnsi="DINPro" w:cs="DINPro"/>
        </w:rPr>
        <w:t>Si le projet ou les objectifs de l’organisation s’alignent sur le Cadre d’investissement dans la communauté, le territoire géographique et les critères du Fonds Tillotson, les demandeurs sont invités à soumettre une demande au Programme des subventions majeures.</w:t>
      </w:r>
    </w:p>
    <w:p w14:paraId="4F851E38" w14:textId="23CD66CF" w:rsidR="00D402E8" w:rsidRPr="00681CFB" w:rsidRDefault="004C5FFC" w:rsidP="00D402E8">
      <w:pPr>
        <w:pStyle w:val="Paragraphedeliste"/>
        <w:numPr>
          <w:ilvl w:val="0"/>
          <w:numId w:val="30"/>
        </w:numPr>
        <w:autoSpaceDE w:val="0"/>
        <w:autoSpaceDN w:val="0"/>
        <w:adjustRightInd w:val="0"/>
        <w:spacing w:after="0" w:line="240" w:lineRule="auto"/>
        <w:rPr>
          <w:rFonts w:ascii="DINPro" w:hAnsi="DINPro" w:cs="DINPro"/>
        </w:rPr>
      </w:pPr>
      <w:r w:rsidRPr="00681CFB">
        <w:rPr>
          <w:rFonts w:ascii="DINPro" w:hAnsi="DINPro" w:cs="DINPro"/>
        </w:rPr>
        <w:t xml:space="preserve">Les propositions sont soumises au moyen de la plateforme en ligne </w:t>
      </w:r>
      <w:hyperlink r:id="rId16" w:history="1">
        <w:proofErr w:type="spellStart"/>
        <w:r w:rsidR="00D402E8" w:rsidRPr="00681CFB">
          <w:rPr>
            <w:rStyle w:val="Lienhypertexte"/>
            <w:rFonts w:ascii="DINPro" w:hAnsi="DINPro" w:cs="DINPro"/>
          </w:rPr>
          <w:t>GrantSource</w:t>
        </w:r>
        <w:proofErr w:type="spellEnd"/>
      </w:hyperlink>
      <w:r w:rsidR="00D402E8" w:rsidRPr="00681CFB">
        <w:rPr>
          <w:rFonts w:ascii="DINPro" w:hAnsi="DINPro" w:cs="DINPro"/>
        </w:rPr>
        <w:t xml:space="preserve"> </w:t>
      </w:r>
      <w:r w:rsidRPr="00681CFB">
        <w:rPr>
          <w:rFonts w:ascii="DINPro" w:hAnsi="DINPro" w:cs="DINPro"/>
        </w:rPr>
        <w:t>avant la mi-février ou la mi-juillet.</w:t>
      </w:r>
      <w:r w:rsidR="00D402E8" w:rsidRPr="00681CFB">
        <w:rPr>
          <w:rFonts w:ascii="DINPro" w:hAnsi="DINPro" w:cs="DINPro"/>
        </w:rPr>
        <w:t xml:space="preserve"> </w:t>
      </w:r>
    </w:p>
    <w:p w14:paraId="40E52861" w14:textId="00F2912E" w:rsidR="00D402E8" w:rsidRPr="00681CFB" w:rsidRDefault="004C5FFC" w:rsidP="00D402E8">
      <w:pPr>
        <w:pStyle w:val="Paragraphedeliste"/>
        <w:numPr>
          <w:ilvl w:val="0"/>
          <w:numId w:val="30"/>
        </w:numPr>
        <w:autoSpaceDE w:val="0"/>
        <w:autoSpaceDN w:val="0"/>
        <w:adjustRightInd w:val="0"/>
        <w:spacing w:after="0" w:line="240" w:lineRule="auto"/>
        <w:rPr>
          <w:rFonts w:ascii="DINPro" w:hAnsi="DINPro" w:cs="DINPro"/>
        </w:rPr>
      </w:pPr>
      <w:r w:rsidRPr="00681CFB">
        <w:rPr>
          <w:rFonts w:ascii="DINPro" w:hAnsi="DINPro" w:cs="DINPro"/>
        </w:rPr>
        <w:t xml:space="preserve">Les analystes des subventions du Fonds </w:t>
      </w:r>
      <w:r w:rsidR="00D402E8" w:rsidRPr="00681CFB">
        <w:rPr>
          <w:rFonts w:ascii="DINPro" w:hAnsi="DINPro" w:cs="DINPro"/>
        </w:rPr>
        <w:t xml:space="preserve">Tillotson </w:t>
      </w:r>
      <w:r w:rsidRPr="00681CFB">
        <w:rPr>
          <w:rFonts w:ascii="DINPro" w:hAnsi="DINPro" w:cs="DINPro"/>
        </w:rPr>
        <w:t xml:space="preserve">communiquent avec le personnel de l’organisation pour discuter en profondeur du projet ou des objectifs de l’organisation. Les analyses peuvent aussi communiquer avec des </w:t>
      </w:r>
      <w:r w:rsidR="00681CFB" w:rsidRPr="00681CFB">
        <w:rPr>
          <w:rFonts w:ascii="DINPro" w:hAnsi="DINPro" w:cs="DINPro"/>
        </w:rPr>
        <w:t xml:space="preserve">représentants autorisés </w:t>
      </w:r>
      <w:r w:rsidR="00681CFB" w:rsidRPr="00681CFB">
        <w:rPr>
          <w:rFonts w:ascii="DINPro" w:hAnsi="DINPro" w:cs="DINPro"/>
        </w:rPr>
        <w:t>dans la communauté pour approfondir leur compréhension de la proposition, de l'organisation et du domaine.</w:t>
      </w:r>
    </w:p>
    <w:p w14:paraId="324AE981" w14:textId="454F705E" w:rsidR="00D402E8" w:rsidRPr="00681CFB" w:rsidRDefault="00681CFB" w:rsidP="00D402E8">
      <w:pPr>
        <w:pStyle w:val="Paragraphedeliste"/>
        <w:numPr>
          <w:ilvl w:val="0"/>
          <w:numId w:val="30"/>
        </w:numPr>
        <w:autoSpaceDE w:val="0"/>
        <w:autoSpaceDN w:val="0"/>
        <w:adjustRightInd w:val="0"/>
        <w:spacing w:after="0" w:line="240" w:lineRule="auto"/>
        <w:rPr>
          <w:rFonts w:ascii="DINPro" w:hAnsi="DINPro" w:cs="DINPro"/>
        </w:rPr>
      </w:pPr>
      <w:r w:rsidRPr="00681CFB">
        <w:rPr>
          <w:rFonts w:ascii="DINPro" w:hAnsi="DINPro" w:cs="DINPro"/>
        </w:rPr>
        <w:lastRenderedPageBreak/>
        <w:t xml:space="preserve">Le Comité consultatif du Fonds </w:t>
      </w:r>
      <w:r w:rsidR="00D402E8" w:rsidRPr="00681CFB">
        <w:rPr>
          <w:rFonts w:ascii="DINPro" w:hAnsi="DINPro" w:cs="DINPro"/>
        </w:rPr>
        <w:t xml:space="preserve">Neil </w:t>
      </w:r>
      <w:r w:rsidR="00AE404B">
        <w:rPr>
          <w:rFonts w:ascii="DINPro" w:hAnsi="DINPro" w:cs="DINPro"/>
        </w:rPr>
        <w:t xml:space="preserve">et </w:t>
      </w:r>
      <w:r w:rsidR="00D402E8" w:rsidRPr="00681CFB">
        <w:rPr>
          <w:rFonts w:ascii="DINPro" w:hAnsi="DINPro" w:cs="DINPro"/>
        </w:rPr>
        <w:t xml:space="preserve">Louise Tillotson </w:t>
      </w:r>
      <w:r w:rsidRPr="00681CFB">
        <w:rPr>
          <w:rFonts w:ascii="DINPro" w:hAnsi="DINPro" w:cs="DINPro"/>
        </w:rPr>
        <w:t>approuve les recommandations de subventions lors de ses réunions régulières à la mi-mars ou septembre.</w:t>
      </w:r>
    </w:p>
    <w:p w14:paraId="7EECD2A6" w14:textId="054CE016" w:rsidR="00E13FA6" w:rsidRPr="00681CFB" w:rsidRDefault="00681CFB" w:rsidP="00D402E8">
      <w:pPr>
        <w:pStyle w:val="Paragraphedeliste"/>
        <w:numPr>
          <w:ilvl w:val="0"/>
          <w:numId w:val="30"/>
        </w:numPr>
        <w:autoSpaceDE w:val="0"/>
        <w:autoSpaceDN w:val="0"/>
        <w:adjustRightInd w:val="0"/>
        <w:spacing w:after="0" w:line="240" w:lineRule="auto"/>
        <w:rPr>
          <w:rFonts w:ascii="DINPro" w:hAnsi="DINPro" w:cs="DINPro"/>
        </w:rPr>
      </w:pPr>
      <w:r w:rsidRPr="00681CFB">
        <w:rPr>
          <w:rFonts w:ascii="DINPro" w:hAnsi="DINPro" w:cs="DINPro"/>
        </w:rPr>
        <w:t>Les demandeurs sont informés des décisions pas plus tard que la fin de mars ou de septembre</w:t>
      </w:r>
      <w:r w:rsidR="00D402E8" w:rsidRPr="00681CFB">
        <w:rPr>
          <w:rFonts w:ascii="DINPro" w:hAnsi="DINPro" w:cs="DINPro"/>
        </w:rPr>
        <w:t>.</w:t>
      </w:r>
    </w:p>
    <w:p w14:paraId="5E5A33DF" w14:textId="77777777" w:rsidR="00E13FA6" w:rsidRPr="00681CFB" w:rsidRDefault="00E13FA6" w:rsidP="00E13FA6">
      <w:pPr>
        <w:autoSpaceDE w:val="0"/>
        <w:autoSpaceDN w:val="0"/>
        <w:adjustRightInd w:val="0"/>
        <w:spacing w:after="0" w:line="240" w:lineRule="auto"/>
        <w:rPr>
          <w:rFonts w:ascii="DINPro" w:hAnsi="DINPro" w:cs="DINPro"/>
          <w:color w:val="000000"/>
        </w:rPr>
      </w:pPr>
    </w:p>
    <w:p w14:paraId="4584DEBC" w14:textId="12E9BD41" w:rsidR="00E13FA6" w:rsidRPr="00681CFB" w:rsidRDefault="00681CFB" w:rsidP="00E13FA6">
      <w:pPr>
        <w:autoSpaceDE w:val="0"/>
        <w:autoSpaceDN w:val="0"/>
        <w:adjustRightInd w:val="0"/>
        <w:spacing w:after="0" w:line="240" w:lineRule="auto"/>
        <w:rPr>
          <w:rFonts w:ascii="DINPro" w:hAnsi="DINPro" w:cs="DINPro"/>
          <w:b/>
          <w:bCs/>
          <w:color w:val="000000"/>
        </w:rPr>
      </w:pPr>
      <w:r w:rsidRPr="00681CFB">
        <w:rPr>
          <w:rFonts w:ascii="DINPro" w:hAnsi="DINPro" w:cs="DINPro"/>
          <w:b/>
          <w:bCs/>
          <w:color w:val="000000"/>
        </w:rPr>
        <w:t>Pour plus d’information</w:t>
      </w:r>
    </w:p>
    <w:p w14:paraId="15619B48" w14:textId="1396A2C3" w:rsidR="00464A23" w:rsidRPr="00681CFB" w:rsidRDefault="00681CFB" w:rsidP="00323DF3">
      <w:pPr>
        <w:autoSpaceDE w:val="0"/>
        <w:autoSpaceDN w:val="0"/>
        <w:adjustRightInd w:val="0"/>
        <w:spacing w:after="0" w:line="240" w:lineRule="auto"/>
        <w:rPr>
          <w:rFonts w:ascii="DINPro" w:hAnsi="DINPro" w:cs="DINPro"/>
          <w:color w:val="000000"/>
        </w:rPr>
      </w:pPr>
      <w:r w:rsidRPr="00681CFB">
        <w:rPr>
          <w:rFonts w:ascii="DINPro" w:hAnsi="DINPro" w:cs="DINPro"/>
          <w:color w:val="000000"/>
        </w:rPr>
        <w:t xml:space="preserve">Veuillez prendre contact avec le personnel du Fonds Neil et Louise Tillotson à la </w:t>
      </w:r>
      <w:r w:rsidR="00E13FA6" w:rsidRPr="00681CFB">
        <w:rPr>
          <w:rFonts w:ascii="DINPro" w:hAnsi="DINPro" w:cs="DINPro"/>
          <w:color w:val="000000"/>
        </w:rPr>
        <w:t xml:space="preserve">New Hampshire Charitable Foundation </w:t>
      </w:r>
      <w:r w:rsidRPr="00681CFB">
        <w:rPr>
          <w:rFonts w:ascii="DINPro" w:hAnsi="DINPro" w:cs="DINPro"/>
          <w:color w:val="000000"/>
        </w:rPr>
        <w:t>pour toute question ou pour discuter d’une proposition de demande</w:t>
      </w:r>
      <w:r w:rsidR="00E13FA6" w:rsidRPr="00681CFB">
        <w:rPr>
          <w:rFonts w:ascii="DINPro" w:hAnsi="DINPro" w:cs="DINPro"/>
          <w:color w:val="000000"/>
        </w:rPr>
        <w:t xml:space="preserve">. </w:t>
      </w:r>
      <w:r w:rsidRPr="00681CFB">
        <w:rPr>
          <w:rFonts w:ascii="DINPro" w:hAnsi="DINPro" w:cs="DINPro"/>
          <w:color w:val="000000"/>
        </w:rPr>
        <w:t xml:space="preserve">Communiquez avec </w:t>
      </w:r>
      <w:r w:rsidR="00E13FA6" w:rsidRPr="00681CFB">
        <w:rPr>
          <w:rFonts w:ascii="DINPro" w:hAnsi="DINPro" w:cs="DINPro"/>
          <w:color w:val="000000"/>
        </w:rPr>
        <w:t>Jean Clarke a</w:t>
      </w:r>
      <w:r w:rsidRPr="00681CFB">
        <w:rPr>
          <w:rFonts w:ascii="DINPro" w:hAnsi="DINPro" w:cs="DINPro"/>
          <w:color w:val="000000"/>
        </w:rPr>
        <w:t>u</w:t>
      </w:r>
      <w:r w:rsidR="00E13FA6" w:rsidRPr="00681CFB">
        <w:rPr>
          <w:rFonts w:ascii="DINPro" w:hAnsi="DINPro" w:cs="DINPro"/>
          <w:color w:val="000000"/>
        </w:rPr>
        <w:t xml:space="preserve"> 603</w:t>
      </w:r>
      <w:r w:rsidR="00941B4D" w:rsidRPr="00681CFB">
        <w:rPr>
          <w:rFonts w:ascii="DINPro" w:hAnsi="DINPro" w:cs="DINPro"/>
          <w:color w:val="000000"/>
        </w:rPr>
        <w:t>-</w:t>
      </w:r>
      <w:r w:rsidR="00E13FA6" w:rsidRPr="00681CFB">
        <w:rPr>
          <w:rFonts w:ascii="DINPro" w:hAnsi="DINPro" w:cs="DINPro"/>
          <w:color w:val="000000"/>
        </w:rPr>
        <w:t>225-6641</w:t>
      </w:r>
      <w:r w:rsidRPr="00681CFB">
        <w:rPr>
          <w:rFonts w:ascii="DINPro" w:hAnsi="DINPro" w:cs="DINPro"/>
          <w:color w:val="000000"/>
        </w:rPr>
        <w:t xml:space="preserve">, poste </w:t>
      </w:r>
      <w:r w:rsidR="00E13FA6" w:rsidRPr="00681CFB">
        <w:rPr>
          <w:rFonts w:ascii="DINPro" w:hAnsi="DINPro" w:cs="DINPro"/>
          <w:color w:val="000000"/>
        </w:rPr>
        <w:t>238</w:t>
      </w:r>
      <w:r w:rsidRPr="00681CFB">
        <w:rPr>
          <w:rFonts w:ascii="DINPro" w:hAnsi="DINPro" w:cs="DINPro"/>
          <w:color w:val="000000"/>
        </w:rPr>
        <w:t>, ou à l’adresse</w:t>
      </w:r>
      <w:r w:rsidR="00E13FA6" w:rsidRPr="00681CFB">
        <w:rPr>
          <w:rFonts w:ascii="DINPro" w:hAnsi="DINPro" w:cs="DINPro"/>
          <w:color w:val="000000"/>
        </w:rPr>
        <w:t xml:space="preserve"> </w:t>
      </w:r>
      <w:hyperlink r:id="rId17" w:history="1">
        <w:r w:rsidR="00AE0B22" w:rsidRPr="00681CFB">
          <w:rPr>
            <w:rStyle w:val="Lienhypertexte"/>
            <w:rFonts w:ascii="DINPro" w:hAnsi="DINPro" w:cs="DINPro"/>
          </w:rPr>
          <w:t>jean.clarke@nhcf.org</w:t>
        </w:r>
      </w:hyperlink>
      <w:r w:rsidR="00FE6F80" w:rsidRPr="00681CFB">
        <w:rPr>
          <w:rFonts w:ascii="DINPro" w:hAnsi="DINPro" w:cs="DINPro"/>
          <w:color w:val="000000"/>
        </w:rPr>
        <w:t>;</w:t>
      </w:r>
      <w:r w:rsidR="00E13FA6" w:rsidRPr="00681CFB">
        <w:rPr>
          <w:rFonts w:ascii="DINPro" w:hAnsi="DINPro" w:cs="DINPro"/>
          <w:color w:val="000000"/>
        </w:rPr>
        <w:t xml:space="preserve"> </w:t>
      </w:r>
      <w:r w:rsidR="00D60F3A" w:rsidRPr="00681CFB">
        <w:rPr>
          <w:rFonts w:ascii="DINPro" w:hAnsi="DINPro" w:cs="DINPro"/>
          <w:color w:val="000000"/>
        </w:rPr>
        <w:t xml:space="preserve">Phoebe Backler </w:t>
      </w:r>
      <w:r w:rsidRPr="00681CFB">
        <w:rPr>
          <w:rFonts w:ascii="DINPro" w:hAnsi="DINPro" w:cs="DINPro"/>
          <w:color w:val="000000"/>
        </w:rPr>
        <w:t xml:space="preserve">au </w:t>
      </w:r>
      <w:r w:rsidR="00D60F3A" w:rsidRPr="00681CFB">
        <w:rPr>
          <w:rFonts w:ascii="DINPro" w:hAnsi="DINPro" w:cs="DINPro"/>
          <w:color w:val="000000"/>
        </w:rPr>
        <w:t>603-</w:t>
      </w:r>
      <w:r w:rsidR="003B538C" w:rsidRPr="00681CFB">
        <w:rPr>
          <w:rFonts w:ascii="DINPro" w:hAnsi="DINPro" w:cs="DINPro"/>
          <w:color w:val="000000"/>
        </w:rPr>
        <w:t>225-6641</w:t>
      </w:r>
      <w:r w:rsidRPr="00681CFB">
        <w:rPr>
          <w:rFonts w:ascii="DINPro" w:hAnsi="DINPro" w:cs="DINPro"/>
          <w:color w:val="000000"/>
        </w:rPr>
        <w:t xml:space="preserve">, poste </w:t>
      </w:r>
      <w:r w:rsidR="003B538C" w:rsidRPr="00681CFB">
        <w:rPr>
          <w:rFonts w:ascii="DINPro" w:hAnsi="DINPro" w:cs="DINPro"/>
          <w:color w:val="000000"/>
        </w:rPr>
        <w:t>247</w:t>
      </w:r>
      <w:r w:rsidRPr="00681CFB">
        <w:rPr>
          <w:rFonts w:ascii="DINPro" w:hAnsi="DINPro" w:cs="DINPro"/>
          <w:color w:val="000000"/>
        </w:rPr>
        <w:t>, ou à l’adresse</w:t>
      </w:r>
      <w:r w:rsidR="00D60F3A" w:rsidRPr="00681CFB">
        <w:rPr>
          <w:rFonts w:ascii="DINPro" w:hAnsi="DINPro" w:cs="DINPro"/>
          <w:color w:val="000000"/>
        </w:rPr>
        <w:t xml:space="preserve"> </w:t>
      </w:r>
      <w:hyperlink r:id="rId18" w:history="1">
        <w:r w:rsidR="00D60F3A" w:rsidRPr="00681CFB">
          <w:rPr>
            <w:rStyle w:val="Lienhypertexte"/>
            <w:rFonts w:ascii="DINPro" w:hAnsi="DINPro" w:cs="DINPro"/>
          </w:rPr>
          <w:t>phoebe.backler@nhcf.org</w:t>
        </w:r>
      </w:hyperlink>
      <w:r w:rsidR="00C02914" w:rsidRPr="00681CFB">
        <w:rPr>
          <w:rFonts w:ascii="DINPro" w:hAnsi="DINPro" w:cs="DINPro"/>
          <w:color w:val="000000"/>
        </w:rPr>
        <w:t>;</w:t>
      </w:r>
      <w:r w:rsidR="00FE6F80" w:rsidRPr="00681CFB">
        <w:rPr>
          <w:rFonts w:ascii="DINPro" w:hAnsi="DINPro" w:cs="DINPro"/>
          <w:color w:val="000000"/>
        </w:rPr>
        <w:t xml:space="preserve"> Sonya Salanti </w:t>
      </w:r>
      <w:r w:rsidRPr="00681CFB">
        <w:rPr>
          <w:rFonts w:ascii="DINPro" w:hAnsi="DINPro" w:cs="DINPro"/>
          <w:color w:val="000000"/>
        </w:rPr>
        <w:t>au</w:t>
      </w:r>
      <w:r w:rsidR="00FE6F80" w:rsidRPr="00681CFB">
        <w:rPr>
          <w:rFonts w:ascii="DINPro" w:hAnsi="DINPro" w:cs="DINPro"/>
          <w:color w:val="000000"/>
        </w:rPr>
        <w:t xml:space="preserve"> 603-</w:t>
      </w:r>
      <w:r w:rsidR="00C02914" w:rsidRPr="00681CFB">
        <w:rPr>
          <w:rFonts w:ascii="DINPro" w:hAnsi="DINPro" w:cs="DINPro"/>
          <w:color w:val="000000"/>
        </w:rPr>
        <w:t>225-6641</w:t>
      </w:r>
      <w:r w:rsidRPr="00681CFB">
        <w:rPr>
          <w:rFonts w:ascii="DINPro" w:hAnsi="DINPro" w:cs="DINPro"/>
          <w:color w:val="000000"/>
        </w:rPr>
        <w:t xml:space="preserve">, poste </w:t>
      </w:r>
      <w:r w:rsidR="00C02914" w:rsidRPr="00681CFB">
        <w:rPr>
          <w:rFonts w:ascii="DINPro" w:hAnsi="DINPro" w:cs="DINPro"/>
          <w:color w:val="000000"/>
        </w:rPr>
        <w:t>242</w:t>
      </w:r>
      <w:r w:rsidR="00FE6F80" w:rsidRPr="00681CFB">
        <w:rPr>
          <w:rFonts w:ascii="DINPro" w:hAnsi="DINPro" w:cs="DINPro"/>
          <w:color w:val="000000"/>
        </w:rPr>
        <w:t xml:space="preserve"> </w:t>
      </w:r>
      <w:r w:rsidRPr="00681CFB">
        <w:rPr>
          <w:rFonts w:ascii="DINPro" w:hAnsi="DINPro" w:cs="DINPro"/>
          <w:color w:val="000000"/>
        </w:rPr>
        <w:t>ou à l’adresse</w:t>
      </w:r>
      <w:r w:rsidR="00FE6F80" w:rsidRPr="00681CFB">
        <w:rPr>
          <w:rFonts w:ascii="DINPro" w:hAnsi="DINPro" w:cs="DINPro"/>
          <w:color w:val="000000"/>
        </w:rPr>
        <w:t xml:space="preserve"> </w:t>
      </w:r>
      <w:hyperlink r:id="rId19" w:history="1">
        <w:r w:rsidR="00CF2629" w:rsidRPr="00681CFB">
          <w:rPr>
            <w:rStyle w:val="Lienhypertexte"/>
            <w:rFonts w:ascii="DINPro" w:hAnsi="DINPro" w:cs="DINPro"/>
          </w:rPr>
          <w:t>sonya.salanti@nhcf.org</w:t>
        </w:r>
      </w:hyperlink>
      <w:r w:rsidR="00CF2629" w:rsidRPr="00681CFB">
        <w:rPr>
          <w:rFonts w:ascii="DINPro" w:hAnsi="DINPro" w:cs="DINPro"/>
          <w:color w:val="000000"/>
        </w:rPr>
        <w:t>.</w:t>
      </w:r>
    </w:p>
    <w:sectPr w:rsidR="00464A23" w:rsidRPr="00681CFB" w:rsidSect="00941B4D">
      <w:headerReference w:type="even" r:id="rId20"/>
      <w:headerReference w:type="default" r:id="rId21"/>
      <w:footerReference w:type="even" r:id="rId22"/>
      <w:footerReference w:type="default" r:id="rId23"/>
      <w:headerReference w:type="first" r:id="rId24"/>
      <w:footerReference w:type="first" r:id="rId25"/>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2B0D8" w14:textId="77777777" w:rsidR="00064AE6" w:rsidRPr="00464A23" w:rsidRDefault="00064AE6" w:rsidP="00464A23">
      <w:r>
        <w:separator/>
      </w:r>
    </w:p>
  </w:endnote>
  <w:endnote w:type="continuationSeparator" w:id="0">
    <w:p w14:paraId="7349CCD2" w14:textId="77777777" w:rsidR="00064AE6" w:rsidRPr="00464A23" w:rsidRDefault="00064AE6" w:rsidP="0046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Calibri"/>
    <w:panose1 w:val="00000000000000000000"/>
    <w:charset w:val="00"/>
    <w:family w:val="swiss"/>
    <w:notTrueType/>
    <w:pitch w:val="variable"/>
    <w:sig w:usb0="A00002BF" w:usb1="4000207B" w:usb2="00000008"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C9DC" w14:textId="77777777" w:rsidR="0043583A" w:rsidRDefault="0043583A">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706674"/>
      <w:docPartObj>
        <w:docPartGallery w:val="Page Numbers (Bottom of Page)"/>
        <w:docPartUnique/>
      </w:docPartObj>
    </w:sdtPr>
    <w:sdtEndPr>
      <w:rPr>
        <w:noProof/>
      </w:rPr>
    </w:sdtEndPr>
    <w:sdtContent>
      <w:p w14:paraId="180F7162" w14:textId="77777777" w:rsidR="0043583A" w:rsidRDefault="0043583A">
        <w:pPr>
          <w:pStyle w:val="Pieddepage"/>
          <w:jc w:val="center"/>
        </w:pPr>
        <w:r>
          <w:fldChar w:fldCharType="begin"/>
        </w:r>
        <w:r>
          <w:instrText xml:space="preserve"> PAGE   \* MERGEFORMAT </w:instrText>
        </w:r>
        <w:r>
          <w:fldChar w:fldCharType="separate"/>
        </w:r>
        <w:r w:rsidR="005E4253">
          <w:rPr>
            <w:noProof/>
          </w:rPr>
          <w:t>3</w:t>
        </w:r>
        <w:r>
          <w:rPr>
            <w:noProof/>
          </w:rPr>
          <w:fldChar w:fldCharType="end"/>
        </w:r>
      </w:p>
    </w:sdtContent>
  </w:sdt>
  <w:p w14:paraId="237D6D88" w14:textId="77777777" w:rsidR="0043583A" w:rsidRDefault="0043583A">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407C" w14:textId="77777777" w:rsidR="0043583A" w:rsidRPr="00464A23" w:rsidRDefault="0043583A" w:rsidP="00464A23">
    <w:r>
      <w:rPr>
        <w:noProof/>
      </w:rPr>
      <w:drawing>
        <wp:inline distT="0" distB="0" distL="0" distR="0" wp14:anchorId="7BDB302A" wp14:editId="22D3BD09">
          <wp:extent cx="5943600" cy="152400"/>
          <wp:effectExtent l="0" t="0" r="0" b="0"/>
          <wp:docPr id="1" name="Picture 1" descr="nhcf-letterhead-2016-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cf-letterhead-2016-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B4260" w14:textId="77777777" w:rsidR="00064AE6" w:rsidRPr="00464A23" w:rsidRDefault="00064AE6" w:rsidP="00464A23">
      <w:r>
        <w:separator/>
      </w:r>
    </w:p>
  </w:footnote>
  <w:footnote w:type="continuationSeparator" w:id="0">
    <w:p w14:paraId="3F5D27BC" w14:textId="77777777" w:rsidR="00064AE6" w:rsidRPr="00464A23" w:rsidRDefault="00064AE6" w:rsidP="00464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5630" w14:textId="77777777" w:rsidR="0043583A" w:rsidRDefault="0043583A">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01A7" w14:textId="77777777" w:rsidR="0043583A" w:rsidRDefault="0043583A" w:rsidP="00464A23"/>
  <w:p w14:paraId="36A12BC0" w14:textId="77777777" w:rsidR="0043583A" w:rsidRDefault="0043583A" w:rsidP="00464A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404C" w14:textId="77777777" w:rsidR="0043583A" w:rsidRDefault="0043583A" w:rsidP="00464A23">
    <w:pPr>
      <w:jc w:val="center"/>
    </w:pPr>
    <w:r w:rsidRPr="00464A23">
      <w:rPr>
        <w:noProof/>
      </w:rPr>
      <w:drawing>
        <wp:inline distT="0" distB="0" distL="0" distR="0" wp14:anchorId="3EBB93BC" wp14:editId="3D1F7BBF">
          <wp:extent cx="2162175" cy="1057275"/>
          <wp:effectExtent l="0" t="0" r="9525" b="9525"/>
          <wp:docPr id="3" name="Picture 3" descr="C:\Users\dd\AppData\Local\Microsoft\Windows\INetCache\Content.Word\nhcf-logo-new-tagline-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d\AppData\Local\Microsoft\Windows\INetCache\Content.Word\nhcf-logo-new-tagline-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D1F"/>
    <w:multiLevelType w:val="hybridMultilevel"/>
    <w:tmpl w:val="B41AD1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D619B"/>
    <w:multiLevelType w:val="hybridMultilevel"/>
    <w:tmpl w:val="9A96F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8421D"/>
    <w:multiLevelType w:val="hybridMultilevel"/>
    <w:tmpl w:val="152A3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E545B"/>
    <w:multiLevelType w:val="hybridMultilevel"/>
    <w:tmpl w:val="C87252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A476F"/>
    <w:multiLevelType w:val="hybridMultilevel"/>
    <w:tmpl w:val="76365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F3510"/>
    <w:multiLevelType w:val="hybridMultilevel"/>
    <w:tmpl w:val="B89844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473BD"/>
    <w:multiLevelType w:val="hybridMultilevel"/>
    <w:tmpl w:val="C0946B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A46C6"/>
    <w:multiLevelType w:val="hybridMultilevel"/>
    <w:tmpl w:val="A8D449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C73425"/>
    <w:multiLevelType w:val="hybridMultilevel"/>
    <w:tmpl w:val="4D7276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16EFB"/>
    <w:multiLevelType w:val="hybridMultilevel"/>
    <w:tmpl w:val="B1C43022"/>
    <w:lvl w:ilvl="0" w:tplc="3230C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C26735"/>
    <w:multiLevelType w:val="hybridMultilevel"/>
    <w:tmpl w:val="4FDAEE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B68F9"/>
    <w:multiLevelType w:val="hybridMultilevel"/>
    <w:tmpl w:val="F9AAA758"/>
    <w:lvl w:ilvl="0" w:tplc="48F09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AA637B"/>
    <w:multiLevelType w:val="hybridMultilevel"/>
    <w:tmpl w:val="5DEA54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036EC"/>
    <w:multiLevelType w:val="hybridMultilevel"/>
    <w:tmpl w:val="653C0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438E5"/>
    <w:multiLevelType w:val="hybridMultilevel"/>
    <w:tmpl w:val="EDF46CF4"/>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383337C1"/>
    <w:multiLevelType w:val="hybridMultilevel"/>
    <w:tmpl w:val="4726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E2FD0"/>
    <w:multiLevelType w:val="hybridMultilevel"/>
    <w:tmpl w:val="19E00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87CD7"/>
    <w:multiLevelType w:val="hybridMultilevel"/>
    <w:tmpl w:val="148A5F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91BDC"/>
    <w:multiLevelType w:val="hybridMultilevel"/>
    <w:tmpl w:val="F7DC51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13BFC"/>
    <w:multiLevelType w:val="hybridMultilevel"/>
    <w:tmpl w:val="2190E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B5483"/>
    <w:multiLevelType w:val="hybridMultilevel"/>
    <w:tmpl w:val="D0EA2E84"/>
    <w:lvl w:ilvl="0" w:tplc="2B888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DA6367"/>
    <w:multiLevelType w:val="hybridMultilevel"/>
    <w:tmpl w:val="E4182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B0F6C"/>
    <w:multiLevelType w:val="hybridMultilevel"/>
    <w:tmpl w:val="AA003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37D2C"/>
    <w:multiLevelType w:val="hybridMultilevel"/>
    <w:tmpl w:val="9DCC2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B3B21"/>
    <w:multiLevelType w:val="hybridMultilevel"/>
    <w:tmpl w:val="2F7AE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2387B"/>
    <w:multiLevelType w:val="hybridMultilevel"/>
    <w:tmpl w:val="2D3A7A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825BFE"/>
    <w:multiLevelType w:val="hybridMultilevel"/>
    <w:tmpl w:val="E34457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C00E80"/>
    <w:multiLevelType w:val="hybridMultilevel"/>
    <w:tmpl w:val="12023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456752"/>
    <w:multiLevelType w:val="hybridMultilevel"/>
    <w:tmpl w:val="00C00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80DB7"/>
    <w:multiLevelType w:val="hybridMultilevel"/>
    <w:tmpl w:val="A16C3A9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7C5AE9"/>
    <w:multiLevelType w:val="hybridMultilevel"/>
    <w:tmpl w:val="C3F62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9F2979"/>
    <w:multiLevelType w:val="hybridMultilevel"/>
    <w:tmpl w:val="893081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F46C01"/>
    <w:multiLevelType w:val="hybridMultilevel"/>
    <w:tmpl w:val="63FC3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8688D"/>
    <w:multiLevelType w:val="hybridMultilevel"/>
    <w:tmpl w:val="7512B5D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5FBC0718"/>
    <w:multiLevelType w:val="hybridMultilevel"/>
    <w:tmpl w:val="A8EE5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E439E2"/>
    <w:multiLevelType w:val="hybridMultilevel"/>
    <w:tmpl w:val="82BA89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626510"/>
    <w:multiLevelType w:val="hybridMultilevel"/>
    <w:tmpl w:val="C36A7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37350E"/>
    <w:multiLevelType w:val="hybridMultilevel"/>
    <w:tmpl w:val="294A85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F21B0"/>
    <w:multiLevelType w:val="hybridMultilevel"/>
    <w:tmpl w:val="EFF41618"/>
    <w:lvl w:ilvl="0" w:tplc="51323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2A0944"/>
    <w:multiLevelType w:val="hybridMultilevel"/>
    <w:tmpl w:val="5F8A93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DE5A96"/>
    <w:multiLevelType w:val="hybridMultilevel"/>
    <w:tmpl w:val="E104E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4255BC"/>
    <w:multiLevelType w:val="hybridMultilevel"/>
    <w:tmpl w:val="C97411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D05F9"/>
    <w:multiLevelType w:val="hybridMultilevel"/>
    <w:tmpl w:val="644626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7D7D82"/>
    <w:multiLevelType w:val="hybridMultilevel"/>
    <w:tmpl w:val="9394131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545BE0"/>
    <w:multiLevelType w:val="hybridMultilevel"/>
    <w:tmpl w:val="F070A9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471EEE"/>
    <w:multiLevelType w:val="hybridMultilevel"/>
    <w:tmpl w:val="7132FE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6628169">
    <w:abstractNumId w:val="34"/>
  </w:num>
  <w:num w:numId="2" w16cid:durableId="342779328">
    <w:abstractNumId w:val="28"/>
  </w:num>
  <w:num w:numId="3" w16cid:durableId="856505944">
    <w:abstractNumId w:val="22"/>
  </w:num>
  <w:num w:numId="4" w16cid:durableId="1692684141">
    <w:abstractNumId w:val="26"/>
  </w:num>
  <w:num w:numId="5" w16cid:durableId="1186405954">
    <w:abstractNumId w:val="10"/>
  </w:num>
  <w:num w:numId="6" w16cid:durableId="367146103">
    <w:abstractNumId w:val="4"/>
  </w:num>
  <w:num w:numId="7" w16cid:durableId="496648844">
    <w:abstractNumId w:val="24"/>
  </w:num>
  <w:num w:numId="8" w16cid:durableId="943150145">
    <w:abstractNumId w:val="32"/>
  </w:num>
  <w:num w:numId="9" w16cid:durableId="393311414">
    <w:abstractNumId w:val="14"/>
  </w:num>
  <w:num w:numId="10" w16cid:durableId="1523857690">
    <w:abstractNumId w:val="18"/>
  </w:num>
  <w:num w:numId="11" w16cid:durableId="1513105263">
    <w:abstractNumId w:val="3"/>
  </w:num>
  <w:num w:numId="12" w16cid:durableId="2104690048">
    <w:abstractNumId w:val="25"/>
  </w:num>
  <w:num w:numId="13" w16cid:durableId="721952056">
    <w:abstractNumId w:val="16"/>
  </w:num>
  <w:num w:numId="14" w16cid:durableId="645428488">
    <w:abstractNumId w:val="45"/>
  </w:num>
  <w:num w:numId="15" w16cid:durableId="1980112997">
    <w:abstractNumId w:val="8"/>
  </w:num>
  <w:num w:numId="16" w16cid:durableId="54596172">
    <w:abstractNumId w:val="33"/>
  </w:num>
  <w:num w:numId="17" w16cid:durableId="1084568617">
    <w:abstractNumId w:val="42"/>
  </w:num>
  <w:num w:numId="18" w16cid:durableId="1741559877">
    <w:abstractNumId w:val="11"/>
  </w:num>
  <w:num w:numId="19" w16cid:durableId="1520116586">
    <w:abstractNumId w:val="20"/>
  </w:num>
  <w:num w:numId="20" w16cid:durableId="1754859204">
    <w:abstractNumId w:val="44"/>
  </w:num>
  <w:num w:numId="21" w16cid:durableId="441000376">
    <w:abstractNumId w:val="9"/>
  </w:num>
  <w:num w:numId="22" w16cid:durableId="528222432">
    <w:abstractNumId w:val="38"/>
  </w:num>
  <w:num w:numId="23" w16cid:durableId="2062290910">
    <w:abstractNumId w:val="5"/>
  </w:num>
  <w:num w:numId="24" w16cid:durableId="521944992">
    <w:abstractNumId w:val="43"/>
  </w:num>
  <w:num w:numId="25" w16cid:durableId="956642062">
    <w:abstractNumId w:val="7"/>
  </w:num>
  <w:num w:numId="26" w16cid:durableId="1803227818">
    <w:abstractNumId w:val="1"/>
  </w:num>
  <w:num w:numId="27" w16cid:durableId="1872495015">
    <w:abstractNumId w:val="19"/>
  </w:num>
  <w:num w:numId="28" w16cid:durableId="1649089539">
    <w:abstractNumId w:val="2"/>
  </w:num>
  <w:num w:numId="29" w16cid:durableId="1857693006">
    <w:abstractNumId w:val="21"/>
  </w:num>
  <w:num w:numId="30" w16cid:durableId="1697658990">
    <w:abstractNumId w:val="40"/>
  </w:num>
  <w:num w:numId="31" w16cid:durableId="565602401">
    <w:abstractNumId w:val="39"/>
  </w:num>
  <w:num w:numId="32" w16cid:durableId="449936076">
    <w:abstractNumId w:val="29"/>
  </w:num>
  <w:num w:numId="33" w16cid:durableId="1375080856">
    <w:abstractNumId w:val="6"/>
  </w:num>
  <w:num w:numId="34" w16cid:durableId="328675723">
    <w:abstractNumId w:val="27"/>
  </w:num>
  <w:num w:numId="35" w16cid:durableId="1824467409">
    <w:abstractNumId w:val="23"/>
  </w:num>
  <w:num w:numId="36" w16cid:durableId="179439177">
    <w:abstractNumId w:val="12"/>
  </w:num>
  <w:num w:numId="37" w16cid:durableId="15471795">
    <w:abstractNumId w:val="30"/>
  </w:num>
  <w:num w:numId="38" w16cid:durableId="572546465">
    <w:abstractNumId w:val="35"/>
  </w:num>
  <w:num w:numId="39" w16cid:durableId="1148550634">
    <w:abstractNumId w:val="0"/>
  </w:num>
  <w:num w:numId="40" w16cid:durableId="992415136">
    <w:abstractNumId w:val="41"/>
  </w:num>
  <w:num w:numId="41" w16cid:durableId="775684412">
    <w:abstractNumId w:val="36"/>
  </w:num>
  <w:num w:numId="42" w16cid:durableId="724724610">
    <w:abstractNumId w:val="13"/>
  </w:num>
  <w:num w:numId="43" w16cid:durableId="1345594507">
    <w:abstractNumId w:val="37"/>
  </w:num>
  <w:num w:numId="44" w16cid:durableId="1403673907">
    <w:abstractNumId w:val="17"/>
  </w:num>
  <w:num w:numId="45" w16cid:durableId="1764836464">
    <w:abstractNumId w:val="15"/>
  </w:num>
  <w:num w:numId="46" w16cid:durableId="12881198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074"/>
    <w:rsid w:val="00007886"/>
    <w:rsid w:val="00023E4A"/>
    <w:rsid w:val="00041773"/>
    <w:rsid w:val="00042D36"/>
    <w:rsid w:val="00064AE6"/>
    <w:rsid w:val="000918FC"/>
    <w:rsid w:val="00094D4D"/>
    <w:rsid w:val="000D7E2A"/>
    <w:rsid w:val="00123A49"/>
    <w:rsid w:val="00140FEE"/>
    <w:rsid w:val="001872D7"/>
    <w:rsid w:val="001B12DA"/>
    <w:rsid w:val="001B290B"/>
    <w:rsid w:val="001C18AB"/>
    <w:rsid w:val="001C3F9B"/>
    <w:rsid w:val="001C72E6"/>
    <w:rsid w:val="001D3074"/>
    <w:rsid w:val="002A4976"/>
    <w:rsid w:val="002D0C92"/>
    <w:rsid w:val="002E1DE0"/>
    <w:rsid w:val="003035D4"/>
    <w:rsid w:val="00313EA7"/>
    <w:rsid w:val="00323DF3"/>
    <w:rsid w:val="00327BE3"/>
    <w:rsid w:val="003576CF"/>
    <w:rsid w:val="003B538C"/>
    <w:rsid w:val="003F0D33"/>
    <w:rsid w:val="003F7921"/>
    <w:rsid w:val="00410063"/>
    <w:rsid w:val="0043583A"/>
    <w:rsid w:val="004447B7"/>
    <w:rsid w:val="00446FFA"/>
    <w:rsid w:val="00464A23"/>
    <w:rsid w:val="00495B37"/>
    <w:rsid w:val="004B36B3"/>
    <w:rsid w:val="004C5FFC"/>
    <w:rsid w:val="004E4B00"/>
    <w:rsid w:val="00526694"/>
    <w:rsid w:val="00530643"/>
    <w:rsid w:val="005614E9"/>
    <w:rsid w:val="00562970"/>
    <w:rsid w:val="005B535F"/>
    <w:rsid w:val="005C3785"/>
    <w:rsid w:val="005E31EC"/>
    <w:rsid w:val="005E4253"/>
    <w:rsid w:val="006447F2"/>
    <w:rsid w:val="00655A81"/>
    <w:rsid w:val="00681CFB"/>
    <w:rsid w:val="00682212"/>
    <w:rsid w:val="00695EFF"/>
    <w:rsid w:val="006C374C"/>
    <w:rsid w:val="006C5494"/>
    <w:rsid w:val="006D1118"/>
    <w:rsid w:val="006D623C"/>
    <w:rsid w:val="006E4B26"/>
    <w:rsid w:val="006F2391"/>
    <w:rsid w:val="00703ECA"/>
    <w:rsid w:val="007222FC"/>
    <w:rsid w:val="00767799"/>
    <w:rsid w:val="00780E32"/>
    <w:rsid w:val="007956C9"/>
    <w:rsid w:val="007B1738"/>
    <w:rsid w:val="007D5FD4"/>
    <w:rsid w:val="007F4D06"/>
    <w:rsid w:val="00802BD6"/>
    <w:rsid w:val="008166F6"/>
    <w:rsid w:val="0082262A"/>
    <w:rsid w:val="00853983"/>
    <w:rsid w:val="00864DDF"/>
    <w:rsid w:val="00881A46"/>
    <w:rsid w:val="008843EC"/>
    <w:rsid w:val="00891F40"/>
    <w:rsid w:val="008C593E"/>
    <w:rsid w:val="008D405C"/>
    <w:rsid w:val="008D5274"/>
    <w:rsid w:val="00904927"/>
    <w:rsid w:val="009220D2"/>
    <w:rsid w:val="00932BA7"/>
    <w:rsid w:val="00933AF6"/>
    <w:rsid w:val="0093408D"/>
    <w:rsid w:val="00936E53"/>
    <w:rsid w:val="00941B4D"/>
    <w:rsid w:val="00955A06"/>
    <w:rsid w:val="00973361"/>
    <w:rsid w:val="00990E79"/>
    <w:rsid w:val="009D1558"/>
    <w:rsid w:val="009D5EA6"/>
    <w:rsid w:val="00A22352"/>
    <w:rsid w:val="00A2587B"/>
    <w:rsid w:val="00A33EAD"/>
    <w:rsid w:val="00A67CE2"/>
    <w:rsid w:val="00AA4074"/>
    <w:rsid w:val="00AB7243"/>
    <w:rsid w:val="00AE0B22"/>
    <w:rsid w:val="00AE404B"/>
    <w:rsid w:val="00AF118C"/>
    <w:rsid w:val="00AF7C65"/>
    <w:rsid w:val="00B37622"/>
    <w:rsid w:val="00BB7116"/>
    <w:rsid w:val="00BC6F9B"/>
    <w:rsid w:val="00C02914"/>
    <w:rsid w:val="00C02E65"/>
    <w:rsid w:val="00C07A69"/>
    <w:rsid w:val="00C1315B"/>
    <w:rsid w:val="00C41E48"/>
    <w:rsid w:val="00CA0DF0"/>
    <w:rsid w:val="00CA3D9A"/>
    <w:rsid w:val="00CF2629"/>
    <w:rsid w:val="00CF543B"/>
    <w:rsid w:val="00D20A5F"/>
    <w:rsid w:val="00D3363F"/>
    <w:rsid w:val="00D402E8"/>
    <w:rsid w:val="00D60F3A"/>
    <w:rsid w:val="00D73ADE"/>
    <w:rsid w:val="00D7733F"/>
    <w:rsid w:val="00DF34E5"/>
    <w:rsid w:val="00E13FA6"/>
    <w:rsid w:val="00E25780"/>
    <w:rsid w:val="00E4301C"/>
    <w:rsid w:val="00E646FA"/>
    <w:rsid w:val="00F44206"/>
    <w:rsid w:val="00F77995"/>
    <w:rsid w:val="00FB43BD"/>
    <w:rsid w:val="00FD53CF"/>
    <w:rsid w:val="00FE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98A3A"/>
  <w15:chartTrackingRefBased/>
  <w15:docId w15:val="{E7388C8E-CF63-44FA-A924-ACD4E93E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FA6"/>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locked/>
    <w:rsid w:val="00AA4074"/>
    <w:pPr>
      <w:tabs>
        <w:tab w:val="center" w:pos="4680"/>
        <w:tab w:val="right" w:pos="9360"/>
      </w:tabs>
      <w:spacing w:after="0" w:line="240" w:lineRule="auto"/>
    </w:pPr>
  </w:style>
  <w:style w:type="character" w:customStyle="1" w:styleId="En-tteCar">
    <w:name w:val="En-tête Car"/>
    <w:basedOn w:val="Policepardfaut"/>
    <w:link w:val="En-tte"/>
    <w:uiPriority w:val="99"/>
    <w:rsid w:val="00AA4074"/>
  </w:style>
  <w:style w:type="paragraph" w:styleId="Pieddepage">
    <w:name w:val="footer"/>
    <w:basedOn w:val="Normal"/>
    <w:link w:val="PieddepageCar"/>
    <w:uiPriority w:val="99"/>
    <w:unhideWhenUsed/>
    <w:locked/>
    <w:rsid w:val="00AA407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A4074"/>
  </w:style>
  <w:style w:type="paragraph" w:styleId="Textedebulles">
    <w:name w:val="Balloon Text"/>
    <w:basedOn w:val="Normal"/>
    <w:link w:val="TextedebullesCar"/>
    <w:uiPriority w:val="99"/>
    <w:semiHidden/>
    <w:unhideWhenUsed/>
    <w:rsid w:val="00AA40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4074"/>
    <w:rPr>
      <w:rFonts w:ascii="Segoe UI" w:hAnsi="Segoe UI" w:cs="Segoe UI"/>
      <w:sz w:val="18"/>
      <w:szCs w:val="18"/>
    </w:rPr>
  </w:style>
  <w:style w:type="paragraph" w:styleId="Paragraphedeliste">
    <w:name w:val="List Paragraph"/>
    <w:basedOn w:val="Normal"/>
    <w:uiPriority w:val="34"/>
    <w:qFormat/>
    <w:rsid w:val="00E13FA6"/>
    <w:pPr>
      <w:ind w:left="720"/>
      <w:contextualSpacing/>
    </w:pPr>
  </w:style>
  <w:style w:type="character" w:styleId="Lienhypertexte">
    <w:name w:val="Hyperlink"/>
    <w:basedOn w:val="Policepardfaut"/>
    <w:uiPriority w:val="99"/>
    <w:unhideWhenUsed/>
    <w:rsid w:val="00E13FA6"/>
    <w:rPr>
      <w:color w:val="0563C1" w:themeColor="hyperlink"/>
      <w:u w:val="single"/>
    </w:rPr>
  </w:style>
  <w:style w:type="character" w:styleId="Lienhypertextesuivivisit">
    <w:name w:val="FollowedHyperlink"/>
    <w:basedOn w:val="Policepardfaut"/>
    <w:uiPriority w:val="99"/>
    <w:semiHidden/>
    <w:unhideWhenUsed/>
    <w:rsid w:val="00E13FA6"/>
    <w:rPr>
      <w:color w:val="954F72" w:themeColor="followedHyperlink"/>
      <w:u w:val="single"/>
    </w:rPr>
  </w:style>
  <w:style w:type="character" w:styleId="lev">
    <w:name w:val="Strong"/>
    <w:uiPriority w:val="22"/>
    <w:qFormat/>
    <w:rsid w:val="00F44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9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cf.org/how-can-we-help-you/apply-for-a-grant/neil-and-louise-tillotson-fund-local-grants-program/" TargetMode="External"/><Relationship Id="rId13" Type="http://schemas.openxmlformats.org/officeDocument/2006/relationships/hyperlink" Target="https://nhcf.smartsimple.com/s_Login.jsp" TargetMode="External"/><Relationship Id="rId18" Type="http://schemas.openxmlformats.org/officeDocument/2006/relationships/hyperlink" Target="mailto:phoebe.backler@nhcf.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nhcf.smartsimple.com/s_Login.jsp" TargetMode="External"/><Relationship Id="rId17" Type="http://schemas.openxmlformats.org/officeDocument/2006/relationships/hyperlink" Target="mailto:jean.clarke@nhcf.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nhcf.smartsimple.com/s_Login.js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hcf.smartsimple.com/s_Login.jsp"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go.oncehub.com/JeanClarke" TargetMode="External"/><Relationship Id="rId23" Type="http://schemas.openxmlformats.org/officeDocument/2006/relationships/footer" Target="footer2.xml"/><Relationship Id="rId10" Type="http://schemas.openxmlformats.org/officeDocument/2006/relationships/hyperlink" Target="https://www.nhcf.org/what-were-up-to/tillotson-fund-releases-five-year-strategic-plan/" TargetMode="External"/><Relationship Id="rId19" Type="http://schemas.openxmlformats.org/officeDocument/2006/relationships/hyperlink" Target="mailto:sonya.salanti@nhcf.org" TargetMode="External"/><Relationship Id="rId4" Type="http://schemas.openxmlformats.org/officeDocument/2006/relationships/settings" Target="settings.xml"/><Relationship Id="rId9" Type="http://schemas.openxmlformats.org/officeDocument/2006/relationships/hyperlink" Target="https://www.nhcf.org/how-can-we-help-you/apply-for-a-grant/neil-and-louise-tillotson-fund-large-grants-program/" TargetMode="External"/><Relationship Id="rId14" Type="http://schemas.openxmlformats.org/officeDocument/2006/relationships/hyperlink" Target="https://nhcf.smartsimple.com/s_Login.jsp"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708C9-183B-42B8-B2C3-522A99D0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4</Pages>
  <Words>1590</Words>
  <Characters>8745</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Dereck Deblois</dc:creator>
  <cp:keywords/>
  <dc:description/>
  <cp:lastModifiedBy>Marc Bernier</cp:lastModifiedBy>
  <cp:revision>5</cp:revision>
  <cp:lastPrinted>2017-07-05T17:44:00Z</cp:lastPrinted>
  <dcterms:created xsi:type="dcterms:W3CDTF">2022-11-28T22:19:00Z</dcterms:created>
  <dcterms:modified xsi:type="dcterms:W3CDTF">2022-11-29T19:02:00Z</dcterms:modified>
</cp:coreProperties>
</file>